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hint="eastAsia" w:ascii="Times New Roman" w:hAnsi="Times New Roman" w:eastAsia="宋体" w:cs="Times New Roman"/>
          <w:b/>
          <w:bCs w:val="0"/>
          <w:color w:val="auto"/>
          <w:kern w:val="0"/>
          <w:sz w:val="30"/>
          <w:szCs w:val="24"/>
          <w:lang w:eastAsia="zh-CN"/>
        </w:rPr>
      </w:pPr>
      <w:r>
        <w:rPr>
          <w:rFonts w:hint="eastAsia" w:cs="Times New Roman"/>
          <w:b/>
          <w:bCs w:val="0"/>
          <w:color w:val="auto"/>
          <w:kern w:val="0"/>
          <w:sz w:val="30"/>
          <w:szCs w:val="24"/>
          <w:lang w:eastAsia="zh-CN"/>
        </w:rPr>
        <w:t>青岛钰鑫源食品有限公司</w:t>
      </w:r>
    </w:p>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hint="eastAsia" w:ascii="Times New Roman" w:hAnsi="Times New Roman" w:eastAsia="宋体" w:cs="Times New Roman"/>
          <w:b/>
          <w:bCs w:val="0"/>
          <w:color w:val="auto"/>
          <w:kern w:val="0"/>
          <w:sz w:val="30"/>
          <w:szCs w:val="24"/>
          <w:lang w:eastAsia="zh-CN"/>
        </w:rPr>
      </w:pPr>
      <w:r>
        <w:rPr>
          <w:rFonts w:hint="eastAsia" w:cs="Times New Roman"/>
          <w:b/>
          <w:bCs w:val="0"/>
          <w:color w:val="auto"/>
          <w:kern w:val="0"/>
          <w:sz w:val="30"/>
          <w:szCs w:val="24"/>
          <w:lang w:eastAsia="zh-CN"/>
        </w:rPr>
        <w:t>调味品、食品添加剂生产项目（一期）</w:t>
      </w:r>
    </w:p>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bottom"/>
        <w:outlineLvl w:val="9"/>
        <w:rPr>
          <w:rFonts w:ascii="Times New Roman" w:hAnsi="Times New Roman" w:eastAsia="宋体" w:cs="Times New Roman"/>
          <w:b/>
          <w:bCs w:val="0"/>
          <w:color w:val="auto"/>
          <w:kern w:val="0"/>
          <w:sz w:val="30"/>
          <w:szCs w:val="24"/>
        </w:rPr>
      </w:pPr>
      <w:r>
        <w:rPr>
          <w:rFonts w:ascii="Times New Roman" w:hAnsi="Times New Roman" w:eastAsia="宋体" w:cs="Times New Roman"/>
          <w:b/>
          <w:bCs w:val="0"/>
          <w:color w:val="auto"/>
          <w:kern w:val="0"/>
          <w:sz w:val="30"/>
          <w:szCs w:val="24"/>
        </w:rPr>
        <w:t>竣工环境保护验收意见</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rPr>
          <w:rFonts w:ascii="Times New Roman" w:hAnsi="Times New Roman" w:eastAsia="宋体" w:cs="Times New Roman"/>
          <w:b/>
          <w:bCs w:val="0"/>
          <w:color w:val="auto"/>
          <w:kern w:val="0"/>
          <w:sz w:val="30"/>
          <w:szCs w:val="24"/>
        </w:rPr>
      </w:pP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auto"/>
          <w:kern w:val="0"/>
          <w:sz w:val="24"/>
          <w:szCs w:val="24"/>
        </w:rPr>
      </w:pPr>
      <w:r>
        <w:rPr>
          <w:rFonts w:hint="eastAsia" w:cs="Times New Roman"/>
          <w:bCs w:val="0"/>
          <w:color w:val="auto"/>
          <w:kern w:val="0"/>
          <w:sz w:val="24"/>
          <w:szCs w:val="24"/>
          <w:lang w:eastAsia="zh-CN"/>
        </w:rPr>
        <w:t>2021年</w:t>
      </w:r>
      <w:r>
        <w:rPr>
          <w:rFonts w:hint="eastAsia" w:cs="Times New Roman"/>
          <w:bCs w:val="0"/>
          <w:color w:val="auto"/>
          <w:kern w:val="0"/>
          <w:sz w:val="24"/>
          <w:szCs w:val="24"/>
          <w:lang w:val="en-US" w:eastAsia="zh-CN"/>
        </w:rPr>
        <w:t>12</w:t>
      </w:r>
      <w:r>
        <w:rPr>
          <w:rFonts w:hint="eastAsia" w:cs="Times New Roman"/>
          <w:bCs w:val="0"/>
          <w:color w:val="auto"/>
          <w:kern w:val="0"/>
          <w:sz w:val="24"/>
          <w:szCs w:val="24"/>
          <w:lang w:eastAsia="zh-CN"/>
        </w:rPr>
        <w:t>月</w:t>
      </w:r>
      <w:r>
        <w:rPr>
          <w:rFonts w:hint="eastAsia" w:cs="Times New Roman"/>
          <w:bCs w:val="0"/>
          <w:color w:val="auto"/>
          <w:kern w:val="0"/>
          <w:sz w:val="24"/>
          <w:szCs w:val="24"/>
          <w:lang w:val="en-US" w:eastAsia="zh-CN"/>
        </w:rPr>
        <w:t>1</w:t>
      </w:r>
      <w:r>
        <w:rPr>
          <w:rFonts w:hint="eastAsia" w:cs="Times New Roman"/>
          <w:bCs w:val="0"/>
          <w:color w:val="auto"/>
          <w:kern w:val="0"/>
          <w:sz w:val="24"/>
          <w:szCs w:val="24"/>
          <w:lang w:eastAsia="zh-CN"/>
        </w:rPr>
        <w:t>日</w:t>
      </w:r>
      <w:r>
        <w:rPr>
          <w:rFonts w:ascii="Times New Roman" w:hAnsi="Times New Roman" w:eastAsia="宋体" w:cs="Times New Roman"/>
          <w:bCs w:val="0"/>
          <w:color w:val="auto"/>
          <w:kern w:val="0"/>
          <w:sz w:val="24"/>
          <w:szCs w:val="24"/>
        </w:rPr>
        <w:t>，</w:t>
      </w:r>
      <w:r>
        <w:rPr>
          <w:rFonts w:hint="eastAsia" w:cs="Times New Roman"/>
          <w:bCs w:val="0"/>
          <w:color w:val="auto"/>
          <w:kern w:val="0"/>
          <w:sz w:val="24"/>
          <w:szCs w:val="24"/>
          <w:lang w:eastAsia="zh-CN"/>
        </w:rPr>
        <w:t>青岛钰鑫源食品有限公司</w:t>
      </w:r>
      <w:r>
        <w:rPr>
          <w:rFonts w:ascii="Times New Roman" w:hAnsi="Times New Roman" w:eastAsia="宋体" w:cs="Times New Roman"/>
          <w:bCs w:val="0"/>
          <w:color w:val="auto"/>
          <w:kern w:val="0"/>
          <w:sz w:val="24"/>
          <w:szCs w:val="24"/>
        </w:rPr>
        <w:t>根据</w:t>
      </w:r>
      <w:r>
        <w:rPr>
          <w:rFonts w:hint="eastAsia" w:ascii="Times New Roman" w:hAnsi="Times New Roman" w:eastAsia="宋体" w:cs="Times New Roman"/>
          <w:bCs w:val="0"/>
          <w:color w:val="auto"/>
          <w:kern w:val="0"/>
          <w:sz w:val="24"/>
          <w:szCs w:val="24"/>
          <w:lang w:eastAsia="zh-CN"/>
        </w:rPr>
        <w:t>“</w:t>
      </w:r>
      <w:r>
        <w:rPr>
          <w:rFonts w:hint="eastAsia" w:cs="Times New Roman"/>
          <w:bCs w:val="0"/>
          <w:color w:val="auto"/>
          <w:kern w:val="0"/>
          <w:sz w:val="24"/>
          <w:szCs w:val="24"/>
          <w:lang w:eastAsia="zh-CN"/>
        </w:rPr>
        <w:t>调味品、食品添加剂生产项目（一期）</w:t>
      </w:r>
      <w:r>
        <w:rPr>
          <w:rFonts w:hint="eastAsia" w:ascii="Times New Roman" w:hAnsi="Times New Roman" w:eastAsia="宋体" w:cs="Times New Roman"/>
          <w:bCs w:val="0"/>
          <w:color w:val="auto"/>
          <w:kern w:val="0"/>
          <w:sz w:val="24"/>
          <w:szCs w:val="24"/>
          <w:lang w:eastAsia="zh-CN"/>
        </w:rPr>
        <w:t>”</w:t>
      </w:r>
      <w:r>
        <w:rPr>
          <w:rFonts w:ascii="Times New Roman" w:hAnsi="Times New Roman" w:eastAsia="宋体" w:cs="Times New Roman"/>
          <w:bCs w:val="0"/>
          <w:color w:val="auto"/>
          <w:kern w:val="0"/>
          <w:sz w:val="24"/>
          <w:szCs w:val="24"/>
        </w:rPr>
        <w:t>竣工环境保护验收监测报告，并对照《建设项目竣工环境保护验收暂行办法》，严格依照国家有关法律法规、建设项目竣工环境保护验收技术规范/指南、本项目环境影响</w:t>
      </w:r>
      <w:r>
        <w:rPr>
          <w:rFonts w:hint="eastAsia" w:cs="Times New Roman"/>
          <w:bCs w:val="0"/>
          <w:color w:val="auto"/>
          <w:kern w:val="0"/>
          <w:sz w:val="24"/>
          <w:szCs w:val="24"/>
          <w:lang w:val="en-US" w:eastAsia="zh-CN"/>
        </w:rPr>
        <w:t>登记表</w:t>
      </w:r>
      <w:r>
        <w:rPr>
          <w:rFonts w:ascii="Times New Roman" w:hAnsi="Times New Roman" w:eastAsia="宋体" w:cs="Times New Roman"/>
          <w:bCs w:val="0"/>
          <w:color w:val="auto"/>
          <w:kern w:val="0"/>
          <w:sz w:val="24"/>
          <w:szCs w:val="24"/>
        </w:rPr>
        <w:t>等要求，</w:t>
      </w:r>
      <w:r>
        <w:rPr>
          <w:rFonts w:hint="eastAsia" w:ascii="Times New Roman" w:hAnsi="Times New Roman" w:eastAsia="宋体" w:cs="Times New Roman"/>
          <w:bCs w:val="0"/>
          <w:color w:val="auto"/>
          <w:kern w:val="0"/>
          <w:sz w:val="24"/>
          <w:szCs w:val="24"/>
        </w:rPr>
        <w:t>在平度市李园街道办事处308国道北侧、西马家疃村北厂区内组织召开了青岛钰鑫源食品有限公司调味品、食品添加剂生产项目（一期）竣工环境保护验收会议</w:t>
      </w:r>
      <w:r>
        <w:rPr>
          <w:rFonts w:ascii="Times New Roman" w:hAnsi="Times New Roman" w:eastAsia="宋体" w:cs="Times New Roman"/>
          <w:bCs w:val="0"/>
          <w:color w:val="auto"/>
          <w:kern w:val="0"/>
          <w:sz w:val="24"/>
          <w:szCs w:val="24"/>
        </w:rPr>
        <w:t>对本项目进行验收，提出意见如下：</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一、项目基本情况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（一）建设地点、规模、主要建设内容</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auto"/>
          <w:kern w:val="0"/>
          <w:sz w:val="24"/>
          <w:szCs w:val="24"/>
          <w:lang w:eastAsia="zh-CN"/>
        </w:rPr>
      </w:pPr>
      <w:r>
        <w:rPr>
          <w:rFonts w:hint="eastAsia" w:cs="Times New Roman"/>
          <w:bCs w:val="0"/>
          <w:color w:val="auto"/>
          <w:kern w:val="0"/>
          <w:sz w:val="24"/>
          <w:szCs w:val="24"/>
          <w:lang w:eastAsia="zh-CN"/>
        </w:rPr>
        <w:t>青岛钰鑫源食品有限公司调味品、食品添加剂生产项目位于平度市李园街道办事处308国道北侧、西马家疃村北，企业租赁青岛胶东机械制造有限公司闲置厂房，拟投资100万元建设调味品、食品添加剂生产项目：购置蒸煮锅、炒锅、胶体磨、混合机、粉碎机、分装机、搅拌锅、分散机、蒸汽发生器、空压机等设备107台/套；劳动定员8人，实行一班8h工作制，年工作200d；建设一座大的生产车间，车间划分为生产区、办公区和仓储区。建成后，年生产调味品25吨（固态调味品10吨、半固态调味品10吨、液态调味品5吨）、食品添加剂6吨（粉状食品添加剂2吨、浆膏状食品添加剂3吨、液状食品添加剂1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auto"/>
          <w:kern w:val="0"/>
          <w:sz w:val="24"/>
          <w:szCs w:val="24"/>
          <w:lang w:eastAsia="zh-CN"/>
        </w:rPr>
      </w:pPr>
      <w:r>
        <w:rPr>
          <w:rFonts w:hint="eastAsia" w:cs="Times New Roman"/>
          <w:bCs w:val="0"/>
          <w:color w:val="auto"/>
          <w:kern w:val="0"/>
          <w:sz w:val="24"/>
          <w:szCs w:val="24"/>
          <w:lang w:eastAsia="zh-CN"/>
        </w:rPr>
        <w:t>因企业发展规划，企业分期建设，分期验收。本次验收仅针对一期工程，一期工程（以下称为本项目）投资75万元：购置蒸煮锅、分装机等设备66台/套；劳动定员8人，实行一班8h工作制，年工作200d；建设一座大的生产车间，车间划分为生产区、办公区和仓储区。建成后，年生产调味品12.5吨（固态调味品5吨、半固态调味品5吨、液态调味品2.5吨）、食品添加剂3吨（粉状食品添加剂1吨、浆膏状食品添加剂1.5吨、液状食品添加剂0.5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（二）建设过程及环保审批情况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2020年10月，受我公司委托，青岛森源环保科技有限公司对项目进行了环境影响评价，编制完成了《青岛钰鑫源食品有限公司调味品、食品添加剂生产项目环境影响报告表》。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2020年11月4日，青岛市生态环境局平度分局以平环承诺审﹝2020﹞105号文件对项目环境影响报告表进行了批复。</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2020年12月，项目开工建设，2021年5月建设完成。</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（三）投资情况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cs="Times New Roman"/>
          <w:bCs w:val="0"/>
          <w:color w:val="auto"/>
          <w:kern w:val="0"/>
          <w:sz w:val="24"/>
          <w:szCs w:val="24"/>
          <w:lang w:eastAsia="zh-CN"/>
        </w:rPr>
      </w:pPr>
      <w:r>
        <w:rPr>
          <w:rFonts w:hint="eastAsia" w:cs="Times New Roman"/>
          <w:bCs w:val="0"/>
          <w:color w:val="auto"/>
          <w:kern w:val="0"/>
          <w:sz w:val="24"/>
          <w:szCs w:val="24"/>
          <w:lang w:eastAsia="zh-CN"/>
        </w:rPr>
        <w:t>项目总投资</w:t>
      </w:r>
      <w:r>
        <w:rPr>
          <w:rFonts w:hint="eastAsia" w:cs="Times New Roman"/>
          <w:bCs w:val="0"/>
          <w:color w:val="auto"/>
          <w:kern w:val="0"/>
          <w:sz w:val="24"/>
          <w:szCs w:val="24"/>
          <w:lang w:val="en-US" w:eastAsia="zh-CN"/>
        </w:rPr>
        <w:t>75</w:t>
      </w:r>
      <w:r>
        <w:rPr>
          <w:rFonts w:hint="eastAsia" w:cs="Times New Roman"/>
          <w:bCs w:val="0"/>
          <w:color w:val="auto"/>
          <w:kern w:val="0"/>
          <w:sz w:val="24"/>
          <w:szCs w:val="24"/>
          <w:lang w:eastAsia="zh-CN"/>
        </w:rPr>
        <w:t>万元，其中环保投资</w:t>
      </w:r>
      <w:r>
        <w:rPr>
          <w:rFonts w:hint="eastAsia" w:cs="Times New Roman"/>
          <w:bCs w:val="0"/>
          <w:color w:val="auto"/>
          <w:kern w:val="0"/>
          <w:sz w:val="24"/>
          <w:szCs w:val="24"/>
          <w:lang w:val="en-US" w:eastAsia="zh-CN"/>
        </w:rPr>
        <w:t>8</w:t>
      </w:r>
      <w:r>
        <w:rPr>
          <w:rFonts w:hint="eastAsia" w:cs="Times New Roman"/>
          <w:bCs w:val="0"/>
          <w:color w:val="auto"/>
          <w:kern w:val="0"/>
          <w:sz w:val="24"/>
          <w:szCs w:val="24"/>
          <w:lang w:eastAsia="zh-CN"/>
        </w:rPr>
        <w:t>万元，占总投资约1</w:t>
      </w:r>
      <w:r>
        <w:rPr>
          <w:rFonts w:hint="eastAsia" w:cs="Times New Roman"/>
          <w:bCs w:val="0"/>
          <w:color w:val="auto"/>
          <w:kern w:val="0"/>
          <w:sz w:val="24"/>
          <w:szCs w:val="24"/>
          <w:lang w:val="en-US" w:eastAsia="zh-CN"/>
        </w:rPr>
        <w:t>0.7</w:t>
      </w:r>
      <w:r>
        <w:rPr>
          <w:rFonts w:hint="eastAsia" w:cs="Times New Roman"/>
          <w:bCs w:val="0"/>
          <w:color w:val="auto"/>
          <w:kern w:val="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（四）验收范围</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本次验收</w:t>
      </w:r>
      <w:r>
        <w:rPr>
          <w:rFonts w:hint="eastAsia" w:ascii="Times New Roman" w:hAnsi="Times New Roman" w:eastAsia="宋体" w:cs="Times New Roman"/>
          <w:bCs w:val="0"/>
          <w:color w:val="auto"/>
          <w:kern w:val="0"/>
          <w:sz w:val="24"/>
          <w:szCs w:val="24"/>
        </w:rPr>
        <w:t>范围为</w:t>
      </w:r>
      <w:r>
        <w:rPr>
          <w:rFonts w:hint="eastAsia" w:cs="Times New Roman"/>
          <w:bCs w:val="0"/>
          <w:color w:val="auto"/>
          <w:kern w:val="0"/>
          <w:sz w:val="24"/>
          <w:szCs w:val="24"/>
          <w:lang w:eastAsia="zh-CN"/>
        </w:rPr>
        <w:t>青岛钰鑫源食品有限公司调味品、食品添加剂生产项目（一期）</w:t>
      </w:r>
      <w:r>
        <w:rPr>
          <w:rFonts w:hint="eastAsia" w:ascii="Times New Roman" w:hAnsi="Times New Roman" w:eastAsia="宋体" w:cs="Times New Roman"/>
          <w:bCs w:val="0"/>
          <w:color w:val="auto"/>
          <w:kern w:val="0"/>
          <w:sz w:val="24"/>
          <w:szCs w:val="24"/>
        </w:rPr>
        <w:t>工程</w:t>
      </w:r>
      <w:r>
        <w:rPr>
          <w:rFonts w:ascii="Times New Roman" w:hAnsi="Times New Roman" w:eastAsia="宋体" w:cs="Times New Roman"/>
          <w:bCs w:val="0"/>
          <w:color w:val="auto"/>
          <w:kern w:val="0"/>
          <w:sz w:val="24"/>
          <w:szCs w:val="24"/>
        </w:rPr>
        <w:t>内容。</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二、项目变动情况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项目分期建设，分期验收，一期工程实际化验工序以外委为主，减少废液排放。根据《关于印发环评管理中部分行业建设项目重大变动清单的通知》（环办[2015]52号，2015.06.04）及《环境保护部办公厅关于印发制浆造纸等十四个行业建设项目重大变动清单的通知》（环办环评[2018]6号，2018.01.29），以上变动未造成不利环境影响，不属于重大变动。</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三、环境保护设施建设情况</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（一）废水</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本项目净水设备产生的浓水和蒸汽发生器排污水回用于厂区洒水抑尘用水，不外排；排放的废水主要为生活污水，经市政污水管网进入青岛崇杰环保平度污水处理有限公司处理。化粪池经防渗处理，可有效防止废水渗漏。</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hint="default" w:ascii="Times New Roman" w:hAnsi="Times New Roman" w:eastAsia="宋体" w:cs="Times New Roman"/>
          <w:bCs w:val="0"/>
          <w:color w:val="auto"/>
          <w:kern w:val="0"/>
          <w:sz w:val="24"/>
          <w:szCs w:val="24"/>
          <w:lang w:val="en-US" w:eastAsia="zh-CN"/>
        </w:rPr>
      </w:pPr>
      <w:r>
        <w:rPr>
          <w:rFonts w:hint="eastAsia" w:cs="Times New Roman"/>
          <w:bCs w:val="0"/>
          <w:color w:val="auto"/>
          <w:kern w:val="0"/>
          <w:sz w:val="24"/>
          <w:szCs w:val="24"/>
          <w:lang w:eastAsia="zh-CN"/>
        </w:rPr>
        <w:t>（</w:t>
      </w:r>
      <w:r>
        <w:rPr>
          <w:rFonts w:hint="eastAsia" w:cs="Times New Roman"/>
          <w:bCs w:val="0"/>
          <w:color w:val="auto"/>
          <w:kern w:val="0"/>
          <w:sz w:val="24"/>
          <w:szCs w:val="24"/>
          <w:lang w:val="en-US" w:eastAsia="zh-CN"/>
        </w:rPr>
        <w:t>二</w:t>
      </w:r>
      <w:r>
        <w:rPr>
          <w:rFonts w:hint="eastAsia" w:cs="Times New Roman"/>
          <w:bCs w:val="0"/>
          <w:color w:val="auto"/>
          <w:kern w:val="0"/>
          <w:sz w:val="24"/>
          <w:szCs w:val="24"/>
          <w:lang w:eastAsia="zh-CN"/>
        </w:rPr>
        <w:t>）</w:t>
      </w:r>
      <w:r>
        <w:rPr>
          <w:rFonts w:hint="eastAsia" w:cs="Times New Roman"/>
          <w:bCs w:val="0"/>
          <w:color w:val="auto"/>
          <w:kern w:val="0"/>
          <w:sz w:val="24"/>
          <w:szCs w:val="24"/>
          <w:lang w:val="en-US" w:eastAsia="zh-CN"/>
        </w:rPr>
        <w:t>废气</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有组织废气</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1、粉状原料配料、投料、搅拌、分散和分装过程产生的颗粒物和异味，固态调味品粉碎、筛选过程产生的颗粒物和异味，半固态调味品和浆膏状食品添加剂搅拌、均质、灌装过程产生的异味，液态调味品和液状食品添加剂搅拌、灌装过程产生的异味；半固态调味品和浆膏状食品添加剂生产过程有蒸汽产生，蒸汽经冷凝作用，产生的液体回流到产品中，不凝气经车间废气收集系统后，所有废气经同一套布袋除尘器和活性炭吸附装置处理后从同15m高排气筒P1排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2、项目酱料炒制过程有油烟产生，炒制工序炒制过程产生的油烟经净化处理后通过15m高排气筒P2排放；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无组织废气</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项目无组织废气主要为：生产中未经集气系统收集的粉尘和异味，经车间直接无组织排放，企业通过加强生产管理来降低无组织废气的排放。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w:t>
      </w:r>
      <w:r>
        <w:rPr>
          <w:rFonts w:hint="eastAsia" w:cs="Times New Roman"/>
          <w:bCs w:val="0"/>
          <w:color w:val="auto"/>
          <w:kern w:val="0"/>
          <w:sz w:val="24"/>
          <w:szCs w:val="24"/>
          <w:lang w:val="en-US" w:eastAsia="zh-CN"/>
        </w:rPr>
        <w:t>三</w:t>
      </w:r>
      <w:r>
        <w:rPr>
          <w:rFonts w:ascii="Times New Roman" w:hAnsi="Times New Roman" w:eastAsia="宋体" w:cs="Times New Roman"/>
          <w:bCs w:val="0"/>
          <w:color w:val="auto"/>
          <w:kern w:val="0"/>
          <w:sz w:val="24"/>
          <w:szCs w:val="24"/>
        </w:rPr>
        <w:t>）噪声</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本项目噪声主要为蒸煮锅、分装机和风机等设备的运行噪声。企业通过选用低噪声设备，合理布局，采取减振、消音、隔声等措施降低噪声的影响。</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hint="default" w:cs="Times New Roman"/>
          <w:bCs w:val="0"/>
          <w:color w:val="auto"/>
          <w:kern w:val="0"/>
          <w:sz w:val="24"/>
          <w:szCs w:val="24"/>
          <w:lang w:val="en-US" w:eastAsia="zh-CN"/>
        </w:rPr>
      </w:pPr>
      <w:r>
        <w:rPr>
          <w:rFonts w:hint="eastAsia" w:cs="Times New Roman"/>
          <w:bCs w:val="0"/>
          <w:color w:val="auto"/>
          <w:kern w:val="0"/>
          <w:sz w:val="24"/>
          <w:szCs w:val="24"/>
          <w:lang w:val="en-US" w:eastAsia="zh-CN"/>
        </w:rPr>
        <w:t>（四）固体废物</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lang w:val="en-US" w:eastAsia="zh-CN"/>
        </w:rPr>
      </w:pPr>
      <w:r>
        <w:rPr>
          <w:rFonts w:hint="eastAsia" w:ascii="Times New Roman" w:hAnsi="Times New Roman" w:eastAsia="宋体" w:cs="Times New Roman"/>
          <w:bCs w:val="0"/>
          <w:color w:val="auto"/>
          <w:kern w:val="0"/>
          <w:sz w:val="24"/>
          <w:szCs w:val="24"/>
          <w:lang w:val="en-US" w:eastAsia="zh-CN"/>
        </w:rPr>
        <w:t>项目营运期固废主要是设备和地面清洗废液、化验废液、废试剂包装材料、废器皿、废试剂、回收颗粒物、过筛杂质、废活性炭、废包装材料、废反渗透膜以及职工生活垃圾。</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lang w:val="en-US" w:eastAsia="zh-CN"/>
        </w:rPr>
      </w:pPr>
      <w:r>
        <w:rPr>
          <w:rFonts w:hint="eastAsia" w:ascii="Times New Roman" w:hAnsi="Times New Roman" w:eastAsia="宋体" w:cs="Times New Roman"/>
          <w:bCs w:val="0"/>
          <w:color w:val="auto"/>
          <w:kern w:val="0"/>
          <w:sz w:val="24"/>
          <w:szCs w:val="24"/>
          <w:lang w:val="en-US" w:eastAsia="zh-CN"/>
        </w:rPr>
        <w:t>其中，废活性炭产生量、回收颗粒物、过筛杂质、废包装材料、废反渗透膜，均属于一般工业固体废物，置于厂区内专门贮存场所收集存放。回收颗粒物和过筛杂质集中收集后外卖做饲料。废包装材料由废品回收站回收。废活性炭由供应商回收。废反渗透膜由固定厂家回收利用。</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lang w:val="en-US" w:eastAsia="zh-CN"/>
        </w:rPr>
      </w:pPr>
      <w:r>
        <w:rPr>
          <w:rFonts w:hint="eastAsia" w:ascii="Times New Roman" w:hAnsi="Times New Roman" w:eastAsia="宋体" w:cs="Times New Roman"/>
          <w:bCs w:val="0"/>
          <w:color w:val="auto"/>
          <w:kern w:val="0"/>
          <w:sz w:val="24"/>
          <w:szCs w:val="24"/>
          <w:lang w:val="en-US" w:eastAsia="zh-CN"/>
        </w:rPr>
        <w:t>其中，设备和地面清洗废液、化验废液、废试剂包装材料和废器皿、废试剂，以上均属于危险废物，暂存于厂内危废库，定期委托有资质的危险废物处置单位处置。</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lang w:val="en-US" w:eastAsia="zh-CN"/>
        </w:rPr>
      </w:pPr>
      <w:r>
        <w:rPr>
          <w:rFonts w:hint="eastAsia" w:ascii="Times New Roman" w:hAnsi="Times New Roman" w:eastAsia="宋体" w:cs="Times New Roman"/>
          <w:bCs w:val="0"/>
          <w:color w:val="auto"/>
          <w:kern w:val="0"/>
          <w:sz w:val="24"/>
          <w:szCs w:val="24"/>
          <w:lang w:val="en-US" w:eastAsia="zh-CN"/>
        </w:rPr>
        <w:t>本项目营运期职工产生的生活垃圾，由环卫部门定期清运。</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outlineLvl w:val="1"/>
        <w:rPr>
          <w:rFonts w:ascii="Times New Roman" w:hAnsi="Times New Roman" w:eastAsia="宋体" w:cs="Times New Roman"/>
          <w:bCs w:val="0"/>
          <w:color w:val="auto"/>
          <w:kern w:val="0"/>
          <w:sz w:val="24"/>
          <w:szCs w:val="24"/>
        </w:rPr>
      </w:pPr>
      <w:r>
        <w:rPr>
          <w:rFonts w:hint="eastAsia" w:cs="Times New Roman"/>
          <w:bCs w:val="0"/>
          <w:color w:val="auto"/>
          <w:kern w:val="0"/>
          <w:sz w:val="24"/>
          <w:szCs w:val="24"/>
          <w:lang w:val="en-US" w:eastAsia="zh-CN"/>
        </w:rPr>
        <w:t>（五）</w:t>
      </w:r>
      <w:r>
        <w:rPr>
          <w:rFonts w:ascii="Times New Roman" w:hAnsi="Times New Roman" w:eastAsia="宋体" w:cs="Times New Roman"/>
          <w:bCs w:val="0"/>
          <w:color w:val="auto"/>
          <w:kern w:val="0"/>
          <w:sz w:val="24"/>
          <w:szCs w:val="24"/>
        </w:rPr>
        <w:t>环境风险</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本项目涉及的废气风险主要为环保设施故障和危险废物发生泄漏引发的环境污染事故。针对存在的环境风险，企业安排专业技术人员负责环保设施和危废库的日常维护和管理，并对环保设施定期监测确保污染物稳定达标排放，车间配置灭火器、消防栓等消防器材以预防环境污染事故发生。</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四、环保措施调试效果</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验收监测期间：车间废气排气筒P1中颗粒物排放浓度满足《区域性大气污染物综合排放标准》（DB 37/2376-2019）表1中重点控制区大气污染物排放浓度限值要求；排放速率满足《大气污染物综合排放标准》（GB 16297-1996）表2中二级标准；臭气浓度排放满足《恶臭污染物排放标准》（GB14554-93）表1排放标准。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炒制工序废气排气筒P2中油烟排放满足《饮食业油烟排放标准》（DB37/597-2006）表2中型标准要求。</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无组织排放废气厂界监控点颗粒物满足《大气污染物综合排放标准》（GB 16297-1996）表2无组织排放监控浓度限值要求；臭气浓度满足《恶臭污染物排放标准》（GB 14554-93）表1中二级新建排放标准。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厂界昼间噪声均满足《工业企业厂界环境噪声排放标准》（GB12348-2008）表1中的</w:t>
      </w:r>
      <w:r>
        <w:rPr>
          <w:rFonts w:hint="eastAsia" w:cs="Times New Roman"/>
          <w:bCs w:val="0"/>
          <w:color w:val="auto"/>
          <w:kern w:val="0"/>
          <w:sz w:val="24"/>
          <w:szCs w:val="24"/>
          <w:lang w:val="en-US" w:eastAsia="zh-CN"/>
        </w:rPr>
        <w:t>2</w:t>
      </w:r>
      <w:r>
        <w:rPr>
          <w:rFonts w:hint="eastAsia" w:ascii="Times New Roman" w:hAnsi="Times New Roman" w:eastAsia="宋体" w:cs="Times New Roman"/>
          <w:bCs w:val="0"/>
          <w:color w:val="auto"/>
          <w:kern w:val="0"/>
          <w:sz w:val="24"/>
          <w:szCs w:val="24"/>
        </w:rPr>
        <w:t>类功能区标准。。</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五、验收结论</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项目已按环评和批复要求完成</w:t>
      </w:r>
      <w:r>
        <w:rPr>
          <w:rFonts w:hint="eastAsia" w:ascii="Times New Roman" w:hAnsi="Times New Roman" w:eastAsia="宋体" w:cs="Times New Roman"/>
          <w:bCs w:val="0"/>
          <w:color w:val="auto"/>
          <w:kern w:val="0"/>
          <w:sz w:val="24"/>
          <w:szCs w:val="24"/>
          <w:lang w:eastAsia="zh-CN"/>
        </w:rPr>
        <w:t>“</w:t>
      </w:r>
      <w:r>
        <w:rPr>
          <w:rFonts w:ascii="Times New Roman" w:hAnsi="Times New Roman" w:eastAsia="宋体" w:cs="Times New Roman"/>
          <w:bCs w:val="0"/>
          <w:color w:val="auto"/>
          <w:kern w:val="0"/>
          <w:sz w:val="24"/>
          <w:szCs w:val="24"/>
        </w:rPr>
        <w:t>三同时</w:t>
      </w:r>
      <w:r>
        <w:rPr>
          <w:rFonts w:hint="eastAsia" w:ascii="Times New Roman" w:hAnsi="Times New Roman" w:eastAsia="宋体" w:cs="Times New Roman"/>
          <w:bCs w:val="0"/>
          <w:color w:val="auto"/>
          <w:kern w:val="0"/>
          <w:sz w:val="24"/>
          <w:szCs w:val="24"/>
          <w:lang w:eastAsia="zh-CN"/>
        </w:rPr>
        <w:t>”</w:t>
      </w:r>
      <w:r>
        <w:rPr>
          <w:rFonts w:ascii="Times New Roman" w:hAnsi="Times New Roman" w:eastAsia="宋体" w:cs="Times New Roman"/>
          <w:bCs w:val="0"/>
          <w:color w:val="auto"/>
          <w:kern w:val="0"/>
          <w:sz w:val="24"/>
          <w:szCs w:val="24"/>
        </w:rPr>
        <w:t>建设，无重大变动，污染物达标排放，验收监测报告结论可信，验收合格。</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textAlignment w:val="bottom"/>
        <w:outlineLvl w:val="0"/>
        <w:rPr>
          <w:rFonts w:ascii="Times New Roman" w:hAnsi="Times New Roman" w:eastAsia="宋体" w:cs="Times New Roman"/>
          <w:b/>
          <w:bCs w:val="0"/>
          <w:color w:val="auto"/>
          <w:kern w:val="0"/>
          <w:sz w:val="24"/>
          <w:szCs w:val="24"/>
        </w:rPr>
      </w:pPr>
      <w:r>
        <w:rPr>
          <w:rFonts w:ascii="Times New Roman" w:hAnsi="Times New Roman" w:eastAsia="宋体" w:cs="Times New Roman"/>
          <w:b/>
          <w:bCs w:val="0"/>
          <w:color w:val="auto"/>
          <w:kern w:val="0"/>
          <w:sz w:val="24"/>
          <w:szCs w:val="24"/>
        </w:rPr>
        <w:t>六、后续要求</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ascii="Times New Roman" w:hAnsi="Times New Roman" w:eastAsia="宋体" w:cs="Times New Roman"/>
          <w:bCs w:val="0"/>
          <w:color w:val="auto"/>
          <w:kern w:val="0"/>
          <w:sz w:val="24"/>
          <w:szCs w:val="24"/>
        </w:rPr>
        <w:t>1、</w:t>
      </w:r>
      <w:r>
        <w:rPr>
          <w:rFonts w:hint="eastAsia" w:ascii="Times New Roman" w:hAnsi="Times New Roman" w:eastAsia="宋体" w:cs="Times New Roman"/>
          <w:bCs w:val="0"/>
          <w:color w:val="auto"/>
          <w:kern w:val="0"/>
          <w:sz w:val="24"/>
          <w:szCs w:val="24"/>
        </w:rPr>
        <w:t>按照《排污单位自行监测技术指南-总则》（HJ819-2017）要求，自主组织进行污染源监测，并做好记录。</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bottom"/>
        <w:rPr>
          <w:rFonts w:hint="eastAsia" w:ascii="Times New Roman" w:hAnsi="Times New Roman" w:eastAsia="宋体" w:cs="Times New Roman"/>
          <w:bCs w:val="0"/>
          <w:color w:val="auto"/>
          <w:kern w:val="0"/>
          <w:sz w:val="24"/>
          <w:szCs w:val="24"/>
        </w:rPr>
      </w:pPr>
      <w:r>
        <w:rPr>
          <w:rFonts w:hint="eastAsia" w:ascii="Times New Roman" w:hAnsi="Times New Roman" w:eastAsia="宋体" w:cs="Times New Roman"/>
          <w:bCs w:val="0"/>
          <w:color w:val="auto"/>
          <w:kern w:val="0"/>
          <w:sz w:val="24"/>
          <w:szCs w:val="24"/>
        </w:rPr>
        <w:t>2、规范设置采样平台，并加强日常的环保管理与监督，严禁环保设施故障情况下生产。</w:t>
      </w:r>
    </w:p>
    <w:p>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jc w:val="right"/>
        <w:textAlignment w:val="bottom"/>
        <w:outlineLvl w:val="9"/>
        <w:rPr>
          <w:rFonts w:hint="eastAsia" w:cs="Times New Roman"/>
          <w:b w:val="0"/>
          <w:bCs w:val="0"/>
          <w:color w:val="auto"/>
          <w:kern w:val="0"/>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jc w:val="right"/>
        <w:textAlignment w:val="bottom"/>
        <w:outlineLvl w:val="9"/>
        <w:rPr>
          <w:rFonts w:hint="eastAsia" w:ascii="Times New Roman" w:hAnsi="Times New Roman" w:eastAsia="宋体" w:cs="Times New Roman"/>
          <w:b/>
          <w:bCs/>
          <w:color w:val="auto"/>
          <w:kern w:val="0"/>
          <w:sz w:val="24"/>
          <w:szCs w:val="24"/>
          <w:lang w:eastAsia="zh-CN"/>
        </w:rPr>
      </w:pPr>
      <w:r>
        <w:rPr>
          <w:rFonts w:hint="eastAsia" w:cs="Times New Roman"/>
          <w:b/>
          <w:bCs/>
          <w:color w:val="auto"/>
          <w:kern w:val="0"/>
          <w:sz w:val="24"/>
          <w:szCs w:val="24"/>
          <w:lang w:eastAsia="zh-CN"/>
        </w:rPr>
        <w:t>青岛钰鑫源食品有限公司</w:t>
      </w:r>
    </w:p>
    <w:p>
      <w:pPr>
        <w:keepNext w:val="0"/>
        <w:keepLines w:val="0"/>
        <w:pageBreakBefore w:val="0"/>
        <w:widowControl w:val="0"/>
        <w:kinsoku/>
        <w:wordWrap/>
        <w:overflowPunct/>
        <w:topLinePunct w:val="0"/>
        <w:autoSpaceDE/>
        <w:autoSpaceDN/>
        <w:bidi w:val="0"/>
        <w:adjustRightInd w:val="0"/>
        <w:snapToGrid w:val="0"/>
        <w:spacing w:line="336" w:lineRule="auto"/>
        <w:ind w:firstLine="482" w:firstLineChars="200"/>
        <w:jc w:val="right"/>
        <w:textAlignment w:val="bottom"/>
        <w:outlineLvl w:val="9"/>
        <w:rPr>
          <w:rFonts w:hint="eastAsia" w:ascii="Times New Roman" w:hAnsi="Times New Roman" w:eastAsia="宋体" w:cs="Times New Roman"/>
          <w:b/>
          <w:bCs/>
          <w:color w:val="auto"/>
          <w:kern w:val="0"/>
          <w:sz w:val="24"/>
          <w:szCs w:val="24"/>
          <w:lang w:eastAsia="zh-CN"/>
        </w:rPr>
      </w:pPr>
      <w:r>
        <w:rPr>
          <w:rFonts w:hint="eastAsia" w:cs="Times New Roman"/>
          <w:b/>
          <w:bCs/>
          <w:color w:val="auto"/>
          <w:kern w:val="0"/>
          <w:sz w:val="24"/>
          <w:szCs w:val="24"/>
          <w:lang w:eastAsia="zh-CN"/>
        </w:rPr>
        <w:t>2021年</w:t>
      </w:r>
      <w:r>
        <w:rPr>
          <w:rFonts w:hint="eastAsia" w:cs="Times New Roman"/>
          <w:b/>
          <w:bCs/>
          <w:color w:val="auto"/>
          <w:kern w:val="0"/>
          <w:sz w:val="24"/>
          <w:szCs w:val="24"/>
          <w:lang w:val="en-US" w:eastAsia="zh-CN"/>
        </w:rPr>
        <w:t>12</w:t>
      </w:r>
      <w:r>
        <w:rPr>
          <w:rFonts w:hint="eastAsia" w:cs="Times New Roman"/>
          <w:b/>
          <w:bCs/>
          <w:color w:val="auto"/>
          <w:kern w:val="0"/>
          <w:sz w:val="24"/>
          <w:szCs w:val="24"/>
          <w:lang w:eastAsia="zh-CN"/>
        </w:rPr>
        <w:t>月</w:t>
      </w:r>
      <w:r>
        <w:rPr>
          <w:rFonts w:hint="eastAsia" w:cs="Times New Roman"/>
          <w:b/>
          <w:bCs/>
          <w:color w:val="auto"/>
          <w:kern w:val="0"/>
          <w:sz w:val="24"/>
          <w:szCs w:val="24"/>
          <w:lang w:val="en-US" w:eastAsia="zh-CN"/>
        </w:rPr>
        <w:t>1</w:t>
      </w:r>
      <w:r>
        <w:rPr>
          <w:rFonts w:hint="eastAsia" w:cs="Times New Roman"/>
          <w:b/>
          <w:bCs/>
          <w:color w:val="auto"/>
          <w:kern w:val="0"/>
          <w:sz w:val="24"/>
          <w:szCs w:val="24"/>
          <w:lang w:eastAsia="zh-CN"/>
        </w:rPr>
        <w:t>日</w:t>
      </w:r>
    </w:p>
    <w:p>
      <w:pPr>
        <w:keepNext w:val="0"/>
        <w:keepLines w:val="0"/>
        <w:pageBreakBefore w:val="0"/>
        <w:widowControl w:val="0"/>
        <w:kinsoku/>
        <w:wordWrap/>
        <w:overflowPunct/>
        <w:topLinePunct w:val="0"/>
        <w:autoSpaceDE/>
        <w:autoSpaceDN/>
        <w:bidi w:val="0"/>
        <w:adjustRightInd w:val="0"/>
        <w:snapToGrid w:val="0"/>
        <w:spacing w:line="336" w:lineRule="auto"/>
        <w:textAlignment w:val="bottom"/>
        <w:rPr>
          <w:rFonts w:ascii="Times New Roman" w:hAnsi="Times New Roman" w:eastAsia="宋体" w:cs="Times New Roman"/>
          <w:b w:val="0"/>
          <w:bCs w:val="0"/>
          <w:color w:val="auto"/>
          <w:kern w:val="0"/>
          <w:sz w:val="24"/>
          <w:szCs w:val="24"/>
        </w:rPr>
      </w:pPr>
      <w:r>
        <w:rPr>
          <w:rFonts w:ascii="Times New Roman" w:hAnsi="Times New Roman" w:eastAsia="宋体" w:cs="Times New Roman"/>
          <w:b w:val="0"/>
          <w:bCs w:val="0"/>
          <w:color w:val="auto"/>
          <w:kern w:val="0"/>
          <w:sz w:val="24"/>
          <w:szCs w:val="24"/>
        </w:rPr>
        <w:br w:type="page"/>
      </w:r>
    </w:p>
    <w:p>
      <w:pPr>
        <w:keepNext w:val="0"/>
        <w:keepLines w:val="0"/>
        <w:pageBreakBefore w:val="0"/>
        <w:widowControl w:val="0"/>
        <w:kinsoku/>
        <w:wordWrap/>
        <w:overflowPunct/>
        <w:topLinePunct w:val="0"/>
        <w:autoSpaceDE/>
        <w:autoSpaceDN/>
        <w:bidi w:val="0"/>
        <w:adjustRightInd w:val="0"/>
        <w:snapToGrid w:val="0"/>
        <w:spacing w:line="336" w:lineRule="auto"/>
        <w:textAlignment w:val="bottom"/>
        <w:outlineLvl w:val="0"/>
        <w:rPr>
          <w:rFonts w:ascii="Times New Roman" w:hAnsi="Times New Roman" w:eastAsia="宋体" w:cs="Times New Roman"/>
          <w:b/>
          <w:bCs w:val="0"/>
          <w:color w:val="auto"/>
          <w:kern w:val="0"/>
          <w:sz w:val="30"/>
          <w:szCs w:val="30"/>
        </w:rPr>
      </w:pPr>
      <w:r>
        <w:rPr>
          <w:rFonts w:ascii="Times New Roman" w:hAnsi="Times New Roman" w:eastAsia="宋体" w:cs="Times New Roman"/>
          <w:b/>
          <w:bCs w:val="0"/>
          <w:color w:val="auto"/>
          <w:kern w:val="0"/>
          <w:sz w:val="30"/>
          <w:szCs w:val="30"/>
        </w:rPr>
        <w:t>附件：</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eastAsia" w:ascii="Times New Roman" w:hAnsi="Times New Roman" w:eastAsia="宋体" w:cs="Times New Roman"/>
          <w:b/>
          <w:bCs w:val="0"/>
          <w:color w:val="auto"/>
          <w:kern w:val="0"/>
          <w:sz w:val="30"/>
          <w:szCs w:val="30"/>
          <w:lang w:eastAsia="zh-CN"/>
        </w:rPr>
      </w:pPr>
      <w:r>
        <w:rPr>
          <w:rFonts w:hint="eastAsia" w:cs="Times New Roman"/>
          <w:b/>
          <w:bCs w:val="0"/>
          <w:color w:val="auto"/>
          <w:kern w:val="0"/>
          <w:sz w:val="30"/>
          <w:szCs w:val="30"/>
          <w:lang w:eastAsia="zh-CN"/>
        </w:rPr>
        <w:t>青岛钰鑫源食品有限公司</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eastAsia" w:ascii="Times New Roman" w:hAnsi="Times New Roman" w:eastAsia="宋体" w:cs="Times New Roman"/>
          <w:bCs w:val="0"/>
          <w:color w:val="auto"/>
          <w:kern w:val="0"/>
          <w:sz w:val="30"/>
          <w:szCs w:val="30"/>
          <w:lang w:eastAsia="zh-CN"/>
        </w:rPr>
      </w:pPr>
      <w:r>
        <w:rPr>
          <w:rFonts w:hint="eastAsia" w:cs="Times New Roman"/>
          <w:b/>
          <w:bCs w:val="0"/>
          <w:color w:val="auto"/>
          <w:kern w:val="0"/>
          <w:sz w:val="30"/>
          <w:szCs w:val="30"/>
          <w:lang w:eastAsia="zh-CN"/>
        </w:rPr>
        <w:t>调味品、食品添加剂生产项目（一期）</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hint="default" w:ascii="Times New Roman" w:hAnsi="Times New Roman" w:eastAsia="宋体" w:cs="Times New Roman"/>
          <w:bCs w:val="0"/>
          <w:color w:val="auto"/>
          <w:kern w:val="0"/>
          <w:sz w:val="30"/>
          <w:szCs w:val="30"/>
          <w:lang w:val="en-US" w:eastAsia="zh-CN"/>
        </w:rPr>
      </w:pPr>
      <w:r>
        <w:rPr>
          <w:rFonts w:ascii="Times New Roman" w:hAnsi="Times New Roman" w:eastAsia="宋体" w:cs="Times New Roman"/>
          <w:b/>
          <w:bCs w:val="0"/>
          <w:color w:val="auto"/>
          <w:kern w:val="0"/>
          <w:sz w:val="30"/>
          <w:szCs w:val="30"/>
        </w:rPr>
        <w:t>竣工环境保护验收</w:t>
      </w:r>
      <w:r>
        <w:rPr>
          <w:rFonts w:hint="eastAsia" w:cs="Times New Roman"/>
          <w:b/>
          <w:bCs w:val="0"/>
          <w:color w:val="auto"/>
          <w:kern w:val="0"/>
          <w:sz w:val="30"/>
          <w:szCs w:val="30"/>
          <w:lang w:val="en-US" w:eastAsia="zh-CN"/>
        </w:rPr>
        <w:t>组签到表</w:t>
      </w: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ascii="Times New Roman" w:hAnsi="Times New Roman" w:eastAsia="宋体" w:cs="Times New Roman"/>
          <w:bCs w:val="0"/>
          <w:color w:val="auto"/>
          <w:kern w:val="0"/>
          <w:sz w:val="30"/>
          <w:szCs w:val="30"/>
        </w:rPr>
      </w:pP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center"/>
        <w:textAlignment w:val="bottom"/>
        <w:outlineLvl w:val="9"/>
        <w:rPr>
          <w:rFonts w:ascii="Times New Roman" w:hAnsi="Times New Roman" w:eastAsia="宋体" w:cs="Times New Roman"/>
          <w:bCs w:val="0"/>
          <w:color w:val="auto"/>
          <w:kern w:val="0"/>
          <w:sz w:val="30"/>
          <w:szCs w:val="30"/>
        </w:rPr>
      </w:pPr>
    </w:p>
    <w:tbl>
      <w:tblPr>
        <w:tblStyle w:val="8"/>
        <w:tblW w:w="7962"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611"/>
        <w:gridCol w:w="1410"/>
        <w:gridCol w:w="2119"/>
        <w:gridCol w:w="1406"/>
        <w:gridCol w:w="5"/>
        <w:gridCol w:w="141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auto"/>
                <w:kern w:val="0"/>
                <w:sz w:val="21"/>
                <w:szCs w:val="21"/>
              </w:rPr>
            </w:pPr>
            <w:r>
              <w:rPr>
                <w:rFonts w:ascii="Times New Roman" w:hAnsi="Times New Roman" w:eastAsia="宋体" w:cs="Times New Roman"/>
                <w:b/>
                <w:bCs w:val="0"/>
                <w:snapToGrid w:val="0"/>
                <w:color w:val="auto"/>
                <w:kern w:val="0"/>
                <w:sz w:val="21"/>
                <w:szCs w:val="21"/>
              </w:rPr>
              <w:t>验收组</w:t>
            </w:r>
          </w:p>
        </w:tc>
        <w:tc>
          <w:tcPr>
            <w:tcW w:w="1410"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auto"/>
                <w:kern w:val="0"/>
                <w:sz w:val="21"/>
                <w:szCs w:val="21"/>
              </w:rPr>
            </w:pPr>
            <w:r>
              <w:rPr>
                <w:rFonts w:ascii="Times New Roman" w:hAnsi="Times New Roman" w:eastAsia="宋体" w:cs="Times New Roman"/>
                <w:b/>
                <w:bCs w:val="0"/>
                <w:snapToGrid w:val="0"/>
                <w:color w:val="auto"/>
                <w:kern w:val="0"/>
                <w:sz w:val="21"/>
                <w:szCs w:val="21"/>
              </w:rPr>
              <w:t>姓名</w:t>
            </w:r>
          </w:p>
        </w:tc>
        <w:tc>
          <w:tcPr>
            <w:tcW w:w="2119"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auto"/>
                <w:kern w:val="0"/>
                <w:sz w:val="21"/>
                <w:szCs w:val="21"/>
              </w:rPr>
            </w:pPr>
            <w:r>
              <w:rPr>
                <w:rFonts w:ascii="Times New Roman" w:hAnsi="Times New Roman" w:eastAsia="宋体" w:cs="Times New Roman"/>
                <w:b/>
                <w:bCs w:val="0"/>
                <w:snapToGrid w:val="0"/>
                <w:color w:val="auto"/>
                <w:kern w:val="0"/>
                <w:sz w:val="21"/>
                <w:szCs w:val="21"/>
              </w:rPr>
              <w:t>单位</w:t>
            </w:r>
          </w:p>
        </w:tc>
        <w:tc>
          <w:tcPr>
            <w:tcW w:w="1406"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auto"/>
                <w:kern w:val="0"/>
                <w:sz w:val="21"/>
                <w:szCs w:val="21"/>
              </w:rPr>
            </w:pPr>
            <w:r>
              <w:rPr>
                <w:rFonts w:ascii="Times New Roman" w:hAnsi="Times New Roman" w:eastAsia="宋体" w:cs="Times New Roman"/>
                <w:b/>
                <w:bCs w:val="0"/>
                <w:snapToGrid w:val="0"/>
                <w:color w:val="auto"/>
                <w:kern w:val="0"/>
                <w:sz w:val="21"/>
                <w:szCs w:val="21"/>
              </w:rPr>
              <w:t>职务/职称</w:t>
            </w:r>
          </w:p>
        </w:tc>
        <w:tc>
          <w:tcPr>
            <w:tcW w:w="1416" w:type="dxa"/>
            <w:gridSpan w:val="2"/>
            <w:tcBorders>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color w:val="auto"/>
                <w:kern w:val="0"/>
                <w:sz w:val="21"/>
                <w:szCs w:val="21"/>
              </w:rPr>
            </w:pPr>
            <w:r>
              <w:rPr>
                <w:rFonts w:ascii="Times New Roman" w:hAnsi="Times New Roman" w:eastAsia="宋体" w:cs="Times New Roman"/>
                <w:b/>
                <w:bCs w:val="0"/>
                <w:snapToGrid w:val="0"/>
                <w:color w:val="auto"/>
                <w:kern w:val="0"/>
                <w:sz w:val="21"/>
                <w:szCs w:val="21"/>
              </w:rPr>
              <w:t>签名</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r>
              <w:rPr>
                <w:rFonts w:ascii="Times New Roman" w:hAnsi="Times New Roman" w:eastAsia="宋体" w:cs="Times New Roman"/>
                <w:bCs w:val="0"/>
                <w:snapToGrid w:val="0"/>
                <w:color w:val="auto"/>
                <w:kern w:val="0"/>
                <w:sz w:val="21"/>
                <w:szCs w:val="21"/>
              </w:rPr>
              <w:t>组长</w:t>
            </w: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王延平</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青岛钰鑫源食品有限公司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法人</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ascii="Times New Roman" w:hAnsi="Times New Roman" w:eastAsia="宋体" w:cs="Times New Roman"/>
                <w:bCs w:val="0"/>
                <w:snapToGrid w:val="0"/>
                <w:color w:val="auto"/>
                <w:kern w:val="0"/>
                <w:sz w:val="21"/>
                <w:szCs w:val="21"/>
                <w:lang w:val="en-US" w:eastAsia="zh-CN"/>
              </w:rPr>
            </w:pPr>
            <w:r>
              <w:rPr>
                <w:rFonts w:hint="eastAsia" w:ascii="Times New Roman" w:hAnsi="Times New Roman" w:eastAsia="宋体" w:cs="Times New Roman"/>
                <w:bCs w:val="0"/>
                <w:snapToGrid w:val="0"/>
                <w:color w:val="auto"/>
                <w:kern w:val="0"/>
                <w:sz w:val="21"/>
                <w:szCs w:val="21"/>
                <w:lang w:val="en-US" w:eastAsia="zh-CN"/>
              </w:rPr>
              <w:t>组员</w:t>
            </w: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default" w:cs="Times New Roman"/>
                <w:bCs w:val="0"/>
                <w:snapToGrid w:val="0"/>
                <w:color w:val="auto"/>
                <w:kern w:val="0"/>
                <w:sz w:val="21"/>
                <w:szCs w:val="21"/>
                <w:lang w:val="en-US" w:eastAsia="zh-CN"/>
              </w:rPr>
              <w:t>毛伟刚</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青岛钰鑫源食品有限公司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总监</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default" w:cs="Times New Roman"/>
                <w:bCs w:val="0"/>
                <w:snapToGrid w:val="0"/>
                <w:color w:val="auto"/>
                <w:kern w:val="0"/>
                <w:sz w:val="21"/>
                <w:szCs w:val="21"/>
                <w:lang w:val="en-US" w:eastAsia="zh-CN"/>
              </w:rPr>
              <w:t>孙寿芝</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青岛钰鑫源食品有限公司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经理</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程伟</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eastAsia"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青岛中旭检测检验有限公司</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工程师</w:t>
            </w:r>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80" w:hRule="atLeast"/>
          <w:jc w:val="center"/>
        </w:trPr>
        <w:tc>
          <w:tcPr>
            <w:tcW w:w="1611"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谢洪波</w:t>
            </w:r>
          </w:p>
        </w:tc>
        <w:tc>
          <w:tcPr>
            <w:tcW w:w="21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青岛大学</w:t>
            </w:r>
          </w:p>
        </w:tc>
        <w:tc>
          <w:tcPr>
            <w:tcW w:w="14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hint="default" w:cs="Times New Roman"/>
                <w:bCs w:val="0"/>
                <w:snapToGrid w:val="0"/>
                <w:color w:val="auto"/>
                <w:kern w:val="0"/>
                <w:sz w:val="21"/>
                <w:szCs w:val="21"/>
                <w:lang w:val="en-US" w:eastAsia="zh-CN"/>
              </w:rPr>
            </w:pPr>
            <w:r>
              <w:rPr>
                <w:rFonts w:hint="eastAsia" w:cs="Times New Roman"/>
                <w:bCs w:val="0"/>
                <w:snapToGrid w:val="0"/>
                <w:color w:val="auto"/>
                <w:kern w:val="0"/>
                <w:sz w:val="21"/>
                <w:szCs w:val="21"/>
                <w:lang w:val="en-US" w:eastAsia="zh-CN"/>
              </w:rPr>
              <w:t>教授</w:t>
            </w:r>
            <w:bookmarkStart w:id="0" w:name="_GoBack"/>
            <w:bookmarkEnd w:id="0"/>
          </w:p>
        </w:tc>
        <w:tc>
          <w:tcPr>
            <w:tcW w:w="1411"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ottom"/>
              <w:rPr>
                <w:rFonts w:ascii="Times New Roman" w:hAnsi="Times New Roman" w:eastAsia="宋体" w:cs="Times New Roman"/>
                <w:bCs w:val="0"/>
                <w:snapToGrid w:val="0"/>
                <w:color w:val="auto"/>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ascii="Times New Roman" w:hAnsi="Times New Roman" w:eastAsia="宋体" w:cs="Times New Roman"/>
          <w:bCs w:val="0"/>
          <w:color w:val="auto"/>
          <w:kern w:val="0"/>
          <w:sz w:val="24"/>
          <w:szCs w:val="24"/>
        </w:rPr>
      </w:pPr>
    </w:p>
    <w:p>
      <w:pPr>
        <w:keepNext w:val="0"/>
        <w:keepLines w:val="0"/>
        <w:pageBreakBefore w:val="0"/>
        <w:widowControl w:val="0"/>
        <w:kinsoku/>
        <w:wordWrap/>
        <w:overflowPunct/>
        <w:topLinePunct w:val="0"/>
        <w:autoSpaceDE/>
        <w:autoSpaceDN/>
        <w:bidi w:val="0"/>
        <w:adjustRightInd w:val="0"/>
        <w:snapToGrid w:val="0"/>
        <w:spacing w:line="336" w:lineRule="auto"/>
        <w:ind w:firstLine="0" w:firstLineChars="0"/>
        <w:jc w:val="right"/>
        <w:textAlignment w:val="bottom"/>
        <w:rPr>
          <w:rFonts w:hint="eastAsia" w:ascii="Times New Roman" w:hAnsi="Times New Roman" w:eastAsia="宋体" w:cs="Times New Roman"/>
          <w:bCs w:val="0"/>
          <w:color w:val="auto"/>
          <w:kern w:val="0"/>
          <w:sz w:val="24"/>
          <w:szCs w:val="24"/>
          <w:lang w:eastAsia="zh-CN"/>
        </w:rPr>
      </w:pPr>
      <w:r>
        <w:rPr>
          <w:rFonts w:hint="eastAsia" w:cs="Times New Roman"/>
          <w:bCs w:val="0"/>
          <w:color w:val="auto"/>
          <w:kern w:val="0"/>
          <w:sz w:val="24"/>
          <w:szCs w:val="24"/>
          <w:lang w:eastAsia="zh-CN"/>
        </w:rPr>
        <w:t>2021年</w:t>
      </w:r>
      <w:r>
        <w:rPr>
          <w:rFonts w:hint="eastAsia" w:cs="Times New Roman"/>
          <w:bCs w:val="0"/>
          <w:color w:val="auto"/>
          <w:kern w:val="0"/>
          <w:sz w:val="24"/>
          <w:szCs w:val="24"/>
          <w:lang w:val="en-US" w:eastAsia="zh-CN"/>
        </w:rPr>
        <w:t>12</w:t>
      </w:r>
      <w:r>
        <w:rPr>
          <w:rFonts w:hint="eastAsia" w:cs="Times New Roman"/>
          <w:bCs w:val="0"/>
          <w:color w:val="auto"/>
          <w:kern w:val="0"/>
          <w:sz w:val="24"/>
          <w:szCs w:val="24"/>
          <w:lang w:eastAsia="zh-CN"/>
        </w:rPr>
        <w:t>月</w:t>
      </w:r>
      <w:r>
        <w:rPr>
          <w:rFonts w:hint="eastAsia" w:cs="Times New Roman"/>
          <w:bCs w:val="0"/>
          <w:color w:val="auto"/>
          <w:kern w:val="0"/>
          <w:sz w:val="24"/>
          <w:szCs w:val="24"/>
          <w:lang w:val="en-US" w:eastAsia="zh-CN"/>
        </w:rPr>
        <w:t>1</w:t>
      </w:r>
      <w:r>
        <w:rPr>
          <w:rFonts w:hint="eastAsia" w:cs="Times New Roman"/>
          <w:bCs w:val="0"/>
          <w:color w:val="auto"/>
          <w:kern w:val="0"/>
          <w:sz w:val="24"/>
          <w:szCs w:val="24"/>
          <w:lang w:eastAsia="zh-CN"/>
        </w:rPr>
        <w:t>日</w:t>
      </w:r>
    </w:p>
    <w:sectPr>
      <w:pgSz w:w="11850" w:h="16783"/>
      <w:pgMar w:top="1440" w:right="1800" w:bottom="1440" w:left="1800" w:header="850" w:footer="992" w:gutter="0"/>
      <w:pgBorders>
        <w:top w:val="none" w:sz="0" w:space="0"/>
        <w:left w:val="none" w:sz="0" w:space="0"/>
        <w:bottom w:val="none" w:sz="0" w:space="0"/>
        <w:right w:val="none" w:sz="0" w:space="0"/>
      </w:pgBorders>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73"/>
    <w:rsid w:val="002A1E46"/>
    <w:rsid w:val="00561D73"/>
    <w:rsid w:val="00613EA2"/>
    <w:rsid w:val="006D2E8F"/>
    <w:rsid w:val="0087455C"/>
    <w:rsid w:val="00BB467F"/>
    <w:rsid w:val="019D295C"/>
    <w:rsid w:val="03143EB3"/>
    <w:rsid w:val="043629EF"/>
    <w:rsid w:val="045452B7"/>
    <w:rsid w:val="05565C28"/>
    <w:rsid w:val="091A6481"/>
    <w:rsid w:val="0A264B9C"/>
    <w:rsid w:val="0AE4597E"/>
    <w:rsid w:val="0DAB4BFF"/>
    <w:rsid w:val="0E140ABA"/>
    <w:rsid w:val="0EBE0AFF"/>
    <w:rsid w:val="10121030"/>
    <w:rsid w:val="131B3E46"/>
    <w:rsid w:val="164F19DF"/>
    <w:rsid w:val="18217E65"/>
    <w:rsid w:val="19250294"/>
    <w:rsid w:val="194302D2"/>
    <w:rsid w:val="1A5D37DB"/>
    <w:rsid w:val="1A75115A"/>
    <w:rsid w:val="1BAD61D4"/>
    <w:rsid w:val="1EDF4D45"/>
    <w:rsid w:val="1EF731D4"/>
    <w:rsid w:val="200D27CD"/>
    <w:rsid w:val="20132296"/>
    <w:rsid w:val="209E4A34"/>
    <w:rsid w:val="24B143C8"/>
    <w:rsid w:val="26240205"/>
    <w:rsid w:val="265231DC"/>
    <w:rsid w:val="26BE1D75"/>
    <w:rsid w:val="27CA457A"/>
    <w:rsid w:val="27FA3514"/>
    <w:rsid w:val="283437FC"/>
    <w:rsid w:val="2A7D37E7"/>
    <w:rsid w:val="2FBA67DD"/>
    <w:rsid w:val="334E15CD"/>
    <w:rsid w:val="392B5808"/>
    <w:rsid w:val="3D9D3F6F"/>
    <w:rsid w:val="3DB74BA0"/>
    <w:rsid w:val="3EC618A4"/>
    <w:rsid w:val="42D659FD"/>
    <w:rsid w:val="46B44ACC"/>
    <w:rsid w:val="496D5882"/>
    <w:rsid w:val="4997754E"/>
    <w:rsid w:val="4B8538A2"/>
    <w:rsid w:val="4C63332E"/>
    <w:rsid w:val="4D5E6323"/>
    <w:rsid w:val="4FDC039B"/>
    <w:rsid w:val="5171730A"/>
    <w:rsid w:val="51E615A1"/>
    <w:rsid w:val="530611C4"/>
    <w:rsid w:val="53CF3CB2"/>
    <w:rsid w:val="547C0E04"/>
    <w:rsid w:val="5946543D"/>
    <w:rsid w:val="59625A2E"/>
    <w:rsid w:val="5A1C0BC2"/>
    <w:rsid w:val="5A1E0A86"/>
    <w:rsid w:val="5C773FD6"/>
    <w:rsid w:val="5F155DF8"/>
    <w:rsid w:val="5F95789C"/>
    <w:rsid w:val="61146428"/>
    <w:rsid w:val="630A016E"/>
    <w:rsid w:val="63F1688A"/>
    <w:rsid w:val="64BE245F"/>
    <w:rsid w:val="674A7920"/>
    <w:rsid w:val="69277784"/>
    <w:rsid w:val="69C134CB"/>
    <w:rsid w:val="69CF1599"/>
    <w:rsid w:val="6A9222C3"/>
    <w:rsid w:val="6B807100"/>
    <w:rsid w:val="6C394D12"/>
    <w:rsid w:val="6C4E4B63"/>
    <w:rsid w:val="6FEA4424"/>
    <w:rsid w:val="714D0F73"/>
    <w:rsid w:val="737B5326"/>
    <w:rsid w:val="737F0E9E"/>
    <w:rsid w:val="760E4CDD"/>
    <w:rsid w:val="76B24321"/>
    <w:rsid w:val="7864004D"/>
    <w:rsid w:val="78A45286"/>
    <w:rsid w:val="78C137C8"/>
    <w:rsid w:val="79DE1AD8"/>
    <w:rsid w:val="7A067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link w:val="14"/>
    <w:qFormat/>
    <w:uiPriority w:val="99"/>
    <w:pPr>
      <w:spacing w:after="120"/>
    </w:pPr>
  </w:style>
  <w:style w:type="paragraph" w:styleId="4">
    <w:name w:val="Balloon Text"/>
    <w:basedOn w:val="1"/>
    <w:link w:val="17"/>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qFormat/>
    <w:uiPriority w:val="99"/>
    <w:rPr>
      <w:rFonts w:ascii="Times New Roman" w:hAnsi="Times New Roman" w:eastAsia="宋体" w:cs="Times New Roman"/>
      <w:szCs w:val="20"/>
    </w:rPr>
  </w:style>
  <w:style w:type="character" w:customStyle="1" w:styleId="15">
    <w:name w:val="正文首行缩进 Char"/>
    <w:basedOn w:val="14"/>
    <w:link w:val="7"/>
    <w:qFormat/>
    <w:uiPriority w:val="99"/>
    <w:rPr>
      <w:rFonts w:ascii="Times New Roman" w:hAnsi="Times New Roman" w:eastAsia="宋体" w:cs="Times New Roman"/>
      <w:szCs w:val="21"/>
    </w:rPr>
  </w:style>
  <w:style w:type="character" w:customStyle="1" w:styleId="16">
    <w:name w:val="批注文字 Char"/>
    <w:basedOn w:val="9"/>
    <w:link w:val="2"/>
    <w:qFormat/>
    <w:uiPriority w:val="0"/>
    <w:rPr>
      <w:rFonts w:ascii="Times New Roman" w:hAnsi="Times New Roman" w:eastAsia="宋体" w:cs="Times New Roman"/>
      <w:szCs w:val="20"/>
    </w:rPr>
  </w:style>
  <w:style w:type="character" w:customStyle="1" w:styleId="17">
    <w:name w:val="批注框文本 Char"/>
    <w:basedOn w:val="9"/>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336</Words>
  <Characters>1917</Characters>
  <Lines>15</Lines>
  <Paragraphs>4</Paragraphs>
  <TotalTime>13</TotalTime>
  <ScaleCrop>false</ScaleCrop>
  <LinksUpToDate>false</LinksUpToDate>
  <CharactersWithSpaces>2249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2021-11-30T03:29:56Z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21F1F5764523429DAD5AAB877D0DEE19</vt:lpwstr>
  </property>
</Properties>
</file>