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2"/>
        <w:rPr>
          <w:rFonts w:ascii="Times New Roman" w:hAnsi="Times New Roman" w:eastAsia="宋体" w:cs="Times New Roman"/>
          <w:b/>
          <w:bCs/>
          <w:snapToGrid w:val="0"/>
          <w:kern w:val="0"/>
        </w:rPr>
      </w:pPr>
      <w:r>
        <w:rPr>
          <w:rFonts w:hint="eastAsia" w:ascii="Times New Roman" w:hAnsi="Times New Roman" w:eastAsia="宋体" w:cs="Times New Roman"/>
          <w:b/>
          <w:bCs/>
          <w:snapToGrid w:val="0"/>
          <w:kern w:val="0"/>
        </w:rPr>
        <w:t>青岛百川通达机械有限公司</w:t>
      </w:r>
    </w:p>
    <w:p>
      <w:pPr>
        <w:pStyle w:val="22"/>
        <w:rPr>
          <w:rFonts w:ascii="Times New Roman" w:hAnsi="Times New Roman" w:eastAsia="宋体" w:cs="Times New Roman"/>
          <w:b/>
          <w:bCs/>
          <w:snapToGrid w:val="0"/>
          <w:kern w:val="0"/>
        </w:rPr>
      </w:pPr>
      <w:r>
        <w:rPr>
          <w:rFonts w:hint="eastAsia" w:ascii="Times New Roman" w:hAnsi="Times New Roman" w:eastAsia="宋体" w:cs="Times New Roman"/>
          <w:b/>
          <w:bCs/>
          <w:snapToGrid w:val="0"/>
          <w:kern w:val="0"/>
        </w:rPr>
        <w:t>百川通达环保装备/铸造机械装备/智能化机械设备</w:t>
      </w:r>
    </w:p>
    <w:p>
      <w:pPr>
        <w:pStyle w:val="22"/>
        <w:rPr>
          <w:rFonts w:ascii="Times New Roman" w:hAnsi="Times New Roman" w:eastAsia="宋体" w:cs="Times New Roman"/>
          <w:b/>
          <w:bCs/>
          <w:snapToGrid w:val="0"/>
          <w:kern w:val="0"/>
          <w:lang w:val="zh-TW"/>
        </w:rPr>
      </w:pPr>
      <w:r>
        <w:rPr>
          <w:rFonts w:hint="eastAsia" w:ascii="Times New Roman" w:hAnsi="Times New Roman" w:eastAsia="宋体" w:cs="Times New Roman"/>
          <w:b/>
          <w:bCs/>
          <w:snapToGrid w:val="0"/>
          <w:kern w:val="0"/>
        </w:rPr>
        <w:t>扩建项目（一期）</w:t>
      </w:r>
      <w:r>
        <w:rPr>
          <w:rFonts w:ascii="Times New Roman" w:hAnsi="Times New Roman" w:eastAsia="宋体" w:cs="Times New Roman"/>
          <w:b/>
          <w:bCs/>
          <w:snapToGrid w:val="0"/>
          <w:kern w:val="0"/>
        </w:rPr>
        <w:t>竣工环境保护验收意见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2021年</w:t>
      </w:r>
      <w:r>
        <w:rPr>
          <w:rFonts w:hint="eastAsia"/>
          <w:snapToGrid w:val="0"/>
          <w:kern w:val="0"/>
          <w:sz w:val="28"/>
          <w:szCs w:val="28"/>
        </w:rPr>
        <w:t>11</w:t>
      </w:r>
      <w:r>
        <w:rPr>
          <w:snapToGrid w:val="0"/>
          <w:kern w:val="0"/>
          <w:sz w:val="28"/>
          <w:szCs w:val="28"/>
        </w:rPr>
        <w:t>月6日，</w:t>
      </w:r>
      <w:r>
        <w:rPr>
          <w:rFonts w:hint="eastAsia"/>
          <w:snapToGrid w:val="0"/>
          <w:kern w:val="0"/>
          <w:sz w:val="28"/>
          <w:szCs w:val="28"/>
        </w:rPr>
        <w:t>青岛百川通达机</w:t>
      </w:r>
      <w:bookmarkStart w:id="0" w:name="_GoBack"/>
      <w:bookmarkEnd w:id="0"/>
      <w:r>
        <w:rPr>
          <w:rFonts w:hint="eastAsia"/>
          <w:snapToGrid w:val="0"/>
          <w:kern w:val="0"/>
          <w:sz w:val="28"/>
          <w:szCs w:val="28"/>
        </w:rPr>
        <w:t>械有限公司</w:t>
      </w:r>
      <w:r>
        <w:rPr>
          <w:snapToGrid w:val="0"/>
          <w:kern w:val="0"/>
          <w:sz w:val="28"/>
          <w:szCs w:val="28"/>
        </w:rPr>
        <w:t>根据“</w:t>
      </w:r>
      <w:r>
        <w:rPr>
          <w:rFonts w:hint="eastAsia"/>
          <w:snapToGrid w:val="0"/>
          <w:kern w:val="0"/>
          <w:sz w:val="28"/>
          <w:szCs w:val="28"/>
        </w:rPr>
        <w:t>百川通达环保装备/铸造机械装备/智能化机械设备扩建项目（一期）</w:t>
      </w:r>
      <w:r>
        <w:rPr>
          <w:snapToGrid w:val="0"/>
          <w:kern w:val="0"/>
          <w:sz w:val="28"/>
          <w:szCs w:val="28"/>
        </w:rPr>
        <w:t>”竣工环境保护验收监测报告，并对照《建设项目竣工环境保护验收暂行办法》，严格依照国家有关法律法规、建设项目竣工环境保护验收技术规范/指南、本项目环境影响报告书和审批部门审批决定等要求，对本项目进行验收，提出意见如下：</w:t>
      </w:r>
    </w:p>
    <w:p>
      <w:pPr>
        <w:pStyle w:val="4"/>
        <w:spacing w:after="0"/>
        <w:ind w:firstLine="786" w:firstLineChars="200"/>
        <w:jc w:val="left"/>
        <w:rPr>
          <w:b/>
          <w:bCs/>
          <w:snapToGrid w:val="0"/>
          <w:kern w:val="0"/>
          <w:sz w:val="28"/>
          <w:szCs w:val="28"/>
        </w:rPr>
      </w:pPr>
      <w:r>
        <w:rPr>
          <w:b/>
          <w:bCs/>
          <w:snapToGrid w:val="0"/>
          <w:kern w:val="0"/>
          <w:sz w:val="28"/>
          <w:szCs w:val="28"/>
        </w:rPr>
        <w:t>一、项目基本情况</w:t>
      </w:r>
    </w:p>
    <w:p>
      <w:pPr>
        <w:pStyle w:val="4"/>
        <w:spacing w:after="0"/>
        <w:ind w:firstLine="786" w:firstLineChars="200"/>
        <w:jc w:val="left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（一）建设地点、规模、主要建设内容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rFonts w:hint="eastAsia"/>
          <w:snapToGrid w:val="0"/>
          <w:kern w:val="0"/>
          <w:sz w:val="28"/>
          <w:szCs w:val="28"/>
        </w:rPr>
        <w:t>为了适应市场需求，青岛百川通达机械有限公司</w:t>
      </w:r>
      <w:r>
        <w:rPr>
          <w:snapToGrid w:val="0"/>
          <w:kern w:val="0"/>
          <w:sz w:val="28"/>
          <w:szCs w:val="28"/>
        </w:rPr>
        <w:t>投资1000万元</w:t>
      </w:r>
      <w:r>
        <w:rPr>
          <w:rFonts w:hint="eastAsia"/>
          <w:snapToGrid w:val="0"/>
          <w:kern w:val="0"/>
          <w:sz w:val="28"/>
          <w:szCs w:val="28"/>
        </w:rPr>
        <w:t>于</w:t>
      </w:r>
      <w:r>
        <w:rPr>
          <w:snapToGrid w:val="0"/>
          <w:kern w:val="0"/>
          <w:sz w:val="28"/>
          <w:szCs w:val="28"/>
        </w:rPr>
        <w:t>原项目西侧建设扩建项目。主要从事环保，矿山，铸造，农业，机械的生产，年产，智能化铸造机械砂处理设备，环保除尘设备，其他机械设备等100条生产线、单机设备300台套，电气自动化控制系统100台。</w:t>
      </w:r>
    </w:p>
    <w:p>
      <w:pPr>
        <w:pStyle w:val="4"/>
        <w:spacing w:after="0"/>
        <w:ind w:firstLine="786" w:firstLineChars="200"/>
        <w:jc w:val="left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（二）</w:t>
      </w:r>
      <w:r>
        <w:rPr>
          <w:snapToGrid w:val="0"/>
          <w:kern w:val="0"/>
          <w:sz w:val="28"/>
          <w:szCs w:val="28"/>
        </w:rPr>
        <w:t>建设过程及环保审批情况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2020年1月，青岛三资环境技术服务有限公司对项目进行了环境影响评价，编制完成了《青岛百川通达机械有限公司百川通达环保装备/铸造机械装备/智能化机械设备扩建项目环境影响报告表》。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2020年4月21日，青岛市生态环境局平度分局以平环审﹝2020﹞68号文件对项目环境影响报告表进行了批复。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2020年5月项目开工，2021年8月建设完成。</w:t>
      </w:r>
    </w:p>
    <w:p>
      <w:pPr>
        <w:pStyle w:val="4"/>
        <w:spacing w:after="0"/>
        <w:ind w:firstLine="786" w:firstLineChars="200"/>
        <w:jc w:val="left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（三）一期</w:t>
      </w:r>
      <w:r>
        <w:rPr>
          <w:snapToGrid w:val="0"/>
          <w:kern w:val="0"/>
          <w:sz w:val="28"/>
          <w:szCs w:val="28"/>
        </w:rPr>
        <w:t>投资情况</w:t>
      </w:r>
    </w:p>
    <w:p>
      <w:pPr>
        <w:pStyle w:val="4"/>
        <w:spacing w:after="0"/>
        <w:ind w:firstLine="786" w:firstLineChars="200"/>
        <w:jc w:val="left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项目总投资800万元，其中环保投资50万元，占总投资约6.25%。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（四）验收范围</w:t>
      </w:r>
    </w:p>
    <w:p>
      <w:pPr>
        <w:pStyle w:val="4"/>
        <w:spacing w:after="0"/>
        <w:ind w:firstLine="786" w:firstLineChars="200"/>
        <w:jc w:val="left"/>
        <w:rPr>
          <w:b/>
          <w:bCs/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项目分期建设，分期验收。一期主要建设内容如下：</w:t>
      </w:r>
    </w:p>
    <w:p>
      <w:pPr>
        <w:pStyle w:val="4"/>
        <w:spacing w:after="0"/>
        <w:ind w:firstLine="786" w:firstLineChars="200"/>
        <w:jc w:val="left"/>
        <w:rPr>
          <w:b/>
          <w:bCs/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建设1套喷漆房</w:t>
      </w:r>
      <w:r>
        <w:rPr>
          <w:rFonts w:hint="eastAsia"/>
          <w:snapToGrid w:val="0"/>
          <w:kern w:val="0"/>
          <w:sz w:val="28"/>
          <w:szCs w:val="28"/>
        </w:rPr>
        <w:t>、4</w:t>
      </w:r>
      <w:r>
        <w:rPr>
          <w:snapToGrid w:val="0"/>
          <w:kern w:val="0"/>
          <w:sz w:val="28"/>
          <w:szCs w:val="28"/>
        </w:rPr>
        <w:t>0</w:t>
      </w:r>
      <w:r>
        <w:rPr>
          <w:rFonts w:hint="eastAsia"/>
          <w:snapToGrid w:val="0"/>
          <w:kern w:val="0"/>
          <w:sz w:val="28"/>
          <w:szCs w:val="28"/>
        </w:rPr>
        <w:t>台</w:t>
      </w:r>
      <w:r>
        <w:rPr>
          <w:snapToGrid w:val="0"/>
          <w:kern w:val="0"/>
          <w:sz w:val="28"/>
          <w:szCs w:val="28"/>
        </w:rPr>
        <w:t>焊接机等设施及相应的环保设施。项目建成后，可形成年产智能化铸造机械砂处理系统/设备环保除尘设备/其他机械设备等50条生产线及150台套单机设备，年产电气自动化控制系统50套年产能力。</w:t>
      </w:r>
    </w:p>
    <w:p>
      <w:pPr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项目尚有取暖设备2套，空压机3台，机床10台，等离子切割机2台，激光切割机2台，喷漆房1套，清理设备2套，行车14架，焊接设备50套，叉车3辆</w:t>
      </w:r>
      <w:r>
        <w:rPr>
          <w:rFonts w:hint="eastAsia"/>
          <w:snapToGrid w:val="0"/>
          <w:kern w:val="0"/>
          <w:sz w:val="28"/>
          <w:szCs w:val="28"/>
        </w:rPr>
        <w:t>等</w:t>
      </w:r>
      <w:r>
        <w:rPr>
          <w:snapToGrid w:val="0"/>
          <w:kern w:val="0"/>
          <w:sz w:val="28"/>
          <w:szCs w:val="28"/>
        </w:rPr>
        <w:t>未建设部分，后续建设完成后另行办理竣工环保验收。</w:t>
      </w:r>
    </w:p>
    <w:p>
      <w:pPr>
        <w:pStyle w:val="4"/>
        <w:spacing w:after="0"/>
        <w:ind w:firstLine="786" w:firstLineChars="200"/>
        <w:jc w:val="left"/>
        <w:rPr>
          <w:b/>
          <w:bCs/>
          <w:snapToGrid w:val="0"/>
          <w:kern w:val="0"/>
          <w:sz w:val="28"/>
          <w:szCs w:val="28"/>
        </w:rPr>
      </w:pPr>
      <w:r>
        <w:rPr>
          <w:b/>
          <w:bCs/>
          <w:snapToGrid w:val="0"/>
          <w:kern w:val="0"/>
          <w:sz w:val="28"/>
          <w:szCs w:val="28"/>
        </w:rPr>
        <w:t>二、项目变动情况</w:t>
      </w:r>
    </w:p>
    <w:p>
      <w:pPr>
        <w:pStyle w:val="4"/>
        <w:spacing w:after="0"/>
        <w:ind w:firstLine="786" w:firstLineChars="200"/>
        <w:jc w:val="left"/>
        <w:rPr>
          <w:snapToGrid w:val="0"/>
          <w:sz w:val="28"/>
          <w:szCs w:val="28"/>
        </w:rPr>
      </w:pPr>
      <w:r>
        <w:rPr>
          <w:rFonts w:hint="eastAsia"/>
          <w:snapToGrid w:val="0"/>
          <w:kern w:val="0"/>
          <w:sz w:val="28"/>
          <w:szCs w:val="28"/>
        </w:rPr>
        <w:t>一期验收范围内，</w:t>
      </w:r>
      <w:r>
        <w:rPr>
          <w:snapToGrid w:val="0"/>
          <w:kern w:val="0"/>
          <w:sz w:val="28"/>
          <w:szCs w:val="28"/>
        </w:rPr>
        <w:t>实际建设情况与环评及批复要求一致</w:t>
      </w:r>
      <w:r>
        <w:rPr>
          <w:snapToGrid w:val="0"/>
          <w:sz w:val="28"/>
          <w:szCs w:val="28"/>
        </w:rPr>
        <w:t>，无变动。</w:t>
      </w:r>
    </w:p>
    <w:p>
      <w:pPr>
        <w:pStyle w:val="4"/>
        <w:spacing w:after="0"/>
        <w:ind w:firstLine="786" w:firstLineChars="200"/>
        <w:jc w:val="left"/>
        <w:rPr>
          <w:b/>
          <w:bCs/>
          <w:snapToGrid w:val="0"/>
          <w:kern w:val="0"/>
          <w:sz w:val="28"/>
          <w:szCs w:val="28"/>
        </w:rPr>
      </w:pPr>
      <w:r>
        <w:rPr>
          <w:b/>
          <w:bCs/>
          <w:snapToGrid w:val="0"/>
          <w:kern w:val="0"/>
          <w:sz w:val="28"/>
          <w:szCs w:val="28"/>
        </w:rPr>
        <w:t>三、环境保护设施建设情况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（一）废水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项目无生产废水产生。生活污水经化粪池处理后，定期外运作农肥。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（二）废气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喷漆房密闭。调漆、喷漆、晾干废气集中收集，经</w:t>
      </w:r>
      <w:r>
        <w:rPr>
          <w:rFonts w:hint="eastAsia"/>
          <w:snapToGrid w:val="0"/>
          <w:kern w:val="0"/>
          <w:sz w:val="28"/>
          <w:szCs w:val="28"/>
        </w:rPr>
        <w:t>“</w:t>
      </w:r>
      <w:r>
        <w:rPr>
          <w:snapToGrid w:val="0"/>
          <w:kern w:val="0"/>
          <w:sz w:val="28"/>
          <w:szCs w:val="28"/>
        </w:rPr>
        <w:t>过滤棉+UV光解+活性炭吸附装置</w:t>
      </w:r>
      <w:r>
        <w:rPr>
          <w:rFonts w:hint="eastAsia"/>
          <w:snapToGrid w:val="0"/>
          <w:kern w:val="0"/>
          <w:sz w:val="28"/>
          <w:szCs w:val="28"/>
        </w:rPr>
        <w:t>”</w:t>
      </w:r>
      <w:r>
        <w:rPr>
          <w:snapToGrid w:val="0"/>
          <w:kern w:val="0"/>
          <w:sz w:val="28"/>
          <w:szCs w:val="28"/>
        </w:rPr>
        <w:t>处理后，通过1根高度为15米的排气筒（P2）排放；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焊接</w:t>
      </w:r>
      <w:r>
        <w:rPr>
          <w:rFonts w:hint="eastAsia"/>
          <w:snapToGrid w:val="0"/>
          <w:kern w:val="0"/>
          <w:sz w:val="28"/>
          <w:szCs w:val="28"/>
        </w:rPr>
        <w:t>粉尘</w:t>
      </w:r>
      <w:r>
        <w:rPr>
          <w:snapToGrid w:val="0"/>
          <w:kern w:val="0"/>
          <w:sz w:val="28"/>
          <w:szCs w:val="28"/>
        </w:rPr>
        <w:t>收集后，通过管道连接至1套布袋除尘器处理后通过15m排气筒P3排放。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项目无组织废气主要为生产过程中未被收集的有机废气和粉尘，于车间内无组织排放</w:t>
      </w:r>
      <w:r>
        <w:rPr>
          <w:rFonts w:hint="eastAsia"/>
          <w:snapToGrid w:val="0"/>
          <w:kern w:val="0"/>
          <w:sz w:val="28"/>
          <w:szCs w:val="28"/>
        </w:rPr>
        <w:t>。</w:t>
      </w:r>
      <w:r>
        <w:rPr>
          <w:snapToGrid w:val="0"/>
          <w:kern w:val="0"/>
          <w:sz w:val="28"/>
          <w:szCs w:val="28"/>
        </w:rPr>
        <w:t xml:space="preserve"> </w:t>
      </w:r>
    </w:p>
    <w:p>
      <w:pPr>
        <w:pStyle w:val="4"/>
        <w:spacing w:after="0"/>
        <w:ind w:firstLine="786" w:firstLineChars="200"/>
        <w:jc w:val="left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（三）</w:t>
      </w:r>
      <w:r>
        <w:rPr>
          <w:snapToGrid w:val="0"/>
          <w:kern w:val="0"/>
          <w:sz w:val="28"/>
          <w:szCs w:val="28"/>
        </w:rPr>
        <w:t>噪声</w:t>
      </w:r>
    </w:p>
    <w:p>
      <w:pPr>
        <w:pStyle w:val="4"/>
        <w:spacing w:after="0"/>
        <w:ind w:firstLine="786" w:firstLineChars="200"/>
        <w:jc w:val="left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项目营运期噪声主要是项目噪声主要来源于切割机、剪板机、折弯机、焊机、车床、铣床等设备的运行。企业采取减振、隔声等措施降低噪声的影响。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（四）固废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项目营运期固废如下：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（1）一般固体废物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除尘器以及车间收集的粉尘、板材废边角料、焊接废料、水性漆废包装桶，均暂存在项目设置的一般固废暂存处。除尘器以及车间收集的粉尘、板材废边角料、焊接废料收集后外售处理，水性漆废包装桶收集后由厂家回收处理。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（2）危险废物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废切削液、设备维修及运行过程产生的废机油、废油抹布、废机油桶、废活性炭、废过滤棉、油漆以及稀释剂废包装桶、漆渣。均暂存于危废暂存间，定期委托有资质单位处置。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废油抹布属于危险废物豁免管理清单中的，全过程不按危险废物管理，混入生活垃圾，由环卫部门定期外运至城市垃圾场处理。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（3）生活垃圾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职工生活产生的生活垃圾定点放置，由环卫部门定期清运。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（五）环境风险</w:t>
      </w:r>
    </w:p>
    <w:p>
      <w:pPr>
        <w:pStyle w:val="4"/>
        <w:spacing w:after="0"/>
        <w:ind w:firstLine="786" w:firstLineChars="200"/>
        <w:jc w:val="left"/>
      </w:pPr>
      <w:r>
        <w:rPr>
          <w:snapToGrid w:val="0"/>
          <w:kern w:val="0"/>
          <w:sz w:val="28"/>
          <w:szCs w:val="28"/>
        </w:rPr>
        <w:t>项目存在的风险主要是危险化学品（包括水性漆、油漆、稀释剂等）存储及环保设施故障引发的环境污染事故和火灾次生对大气环境、水环境，以及工作人员引起的危害和影响。针对存在的环境风险，企业安排专业技术人员负责生产设施的日常维护和管理，并对环保设施定期监测确保污染物稳定达标排放，车间配置灭火器、消防栓等消防器材。同时，企业编制了《青岛百川通达机械有限公司突发环境事件应急预案》，并在当地环保部门备案（备案编号：370283-20210708-217-L）。</w:t>
      </w:r>
    </w:p>
    <w:p>
      <w:pPr>
        <w:pStyle w:val="4"/>
        <w:spacing w:after="0"/>
        <w:ind w:firstLine="786" w:firstLineChars="200"/>
        <w:jc w:val="left"/>
        <w:rPr>
          <w:b/>
          <w:bCs/>
          <w:snapToGrid w:val="0"/>
          <w:kern w:val="0"/>
          <w:sz w:val="28"/>
          <w:szCs w:val="28"/>
        </w:rPr>
      </w:pPr>
      <w:r>
        <w:rPr>
          <w:b/>
          <w:bCs/>
          <w:snapToGrid w:val="0"/>
          <w:kern w:val="0"/>
          <w:sz w:val="28"/>
          <w:szCs w:val="28"/>
        </w:rPr>
        <w:t>四、环保措施调试效果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rFonts w:hint="eastAsia"/>
          <w:snapToGrid w:val="0"/>
          <w:kern w:val="0"/>
          <w:sz w:val="28"/>
          <w:szCs w:val="28"/>
        </w:rPr>
        <w:t>青岛百川通达机械有限公司</w:t>
      </w:r>
      <w:r>
        <w:rPr>
          <w:snapToGrid w:val="0"/>
          <w:kern w:val="0"/>
          <w:sz w:val="28"/>
          <w:szCs w:val="28"/>
        </w:rPr>
        <w:t>验收监测报告表明，</w:t>
      </w:r>
      <w:r>
        <w:rPr>
          <w:snapToGrid w:val="0"/>
          <w:sz w:val="28"/>
          <w:szCs w:val="28"/>
        </w:rPr>
        <w:t>验收监测期间：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验收监测期间，</w:t>
      </w:r>
      <w:r>
        <w:rPr>
          <w:rFonts w:hint="eastAsia"/>
          <w:snapToGrid w:val="0"/>
          <w:kern w:val="0"/>
          <w:sz w:val="28"/>
          <w:szCs w:val="28"/>
        </w:rPr>
        <w:t>调漆、</w:t>
      </w:r>
      <w:r>
        <w:rPr>
          <w:snapToGrid w:val="0"/>
          <w:kern w:val="0"/>
          <w:sz w:val="28"/>
          <w:szCs w:val="28"/>
        </w:rPr>
        <w:t>喷漆</w:t>
      </w:r>
      <w:r>
        <w:rPr>
          <w:rFonts w:hint="eastAsia"/>
          <w:snapToGrid w:val="0"/>
          <w:kern w:val="0"/>
          <w:sz w:val="28"/>
          <w:szCs w:val="28"/>
        </w:rPr>
        <w:t>、</w:t>
      </w:r>
      <w:r>
        <w:rPr>
          <w:snapToGrid w:val="0"/>
          <w:kern w:val="0"/>
          <w:sz w:val="28"/>
          <w:szCs w:val="28"/>
        </w:rPr>
        <w:t>晾干废气排气筒P2中VOC</w:t>
      </w:r>
      <w:r>
        <w:rPr>
          <w:snapToGrid w:val="0"/>
          <w:kern w:val="0"/>
          <w:sz w:val="28"/>
          <w:szCs w:val="28"/>
          <w:vertAlign w:val="subscript"/>
        </w:rPr>
        <w:t>S</w:t>
      </w:r>
      <w:r>
        <w:rPr>
          <w:snapToGrid w:val="0"/>
          <w:kern w:val="0"/>
          <w:sz w:val="28"/>
          <w:szCs w:val="28"/>
        </w:rPr>
        <w:t>、二甲苯排放浓度和排放速率满足《挥发性有机物排放标准 第5部分：表面涂装行业》（DB37/2801.5-2018）表2排放要求；臭气浓度（无量纲）满足《恶臭污染物排放标准》（GB14554-93）表2标准要求；颗粒物排放浓度满足《区域性大气污染物综合排放标准》（DB 37/2376-2019）表1中重点控制区大气污染物排放浓度限值要求；排放速率执行《大气污染物综合排放标准》（GB 16297-1996）表2中二级标准。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焊接废气排气筒P3中颗粒物排放浓度满足《区域性大气污染物综合排放标准》（DB 37/2376-2019）表1中重点控制区大气污染物排放浓度限值要求；排放速率执行《大气污染物综合排放标准》（GB 16297-1996）表2中二级标准。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无组织排放废气中颗粒物满足《大气污染物综合排放标准》（GB 16297-1996）表2中二级标准；VOC</w:t>
      </w:r>
      <w:r>
        <w:rPr>
          <w:snapToGrid w:val="0"/>
          <w:kern w:val="0"/>
          <w:sz w:val="28"/>
          <w:szCs w:val="28"/>
          <w:vertAlign w:val="subscript"/>
        </w:rPr>
        <w:t>S</w:t>
      </w:r>
      <w:r>
        <w:rPr>
          <w:snapToGrid w:val="0"/>
          <w:kern w:val="0"/>
          <w:sz w:val="28"/>
          <w:szCs w:val="28"/>
        </w:rPr>
        <w:t>满足《《挥发性有机物排放标准 第5部分：表面涂装行业》（DB37/2801.5-2018）表3厂界监控点浓度限值；臭气浓度满足《恶臭污染物排放标准》（GB14554-93）表1中标准要求；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厂区内非甲烷总烃排放浓度满足《挥发性有机物无组织排放控制标准》（GB37822-2019）附录A相关要求。</w:t>
      </w:r>
    </w:p>
    <w:p>
      <w:pPr>
        <w:pStyle w:val="4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北厂界昼间噪声满足《工业企业厂界环境噪声排放标准》（GB12348-2008）表1中2类声环境功能区标准要求。</w:t>
      </w:r>
    </w:p>
    <w:p>
      <w:pPr>
        <w:pStyle w:val="4"/>
        <w:spacing w:after="0"/>
        <w:ind w:firstLine="786" w:firstLineChars="200"/>
        <w:jc w:val="left"/>
        <w:rPr>
          <w:b/>
          <w:bCs/>
          <w:snapToGrid w:val="0"/>
          <w:kern w:val="0"/>
          <w:sz w:val="28"/>
          <w:szCs w:val="28"/>
        </w:rPr>
      </w:pPr>
      <w:r>
        <w:rPr>
          <w:b/>
          <w:bCs/>
          <w:snapToGrid w:val="0"/>
          <w:kern w:val="0"/>
          <w:sz w:val="28"/>
          <w:szCs w:val="28"/>
        </w:rPr>
        <w:t>五、验收结论</w:t>
      </w:r>
    </w:p>
    <w:p>
      <w:pPr>
        <w:pStyle w:val="4"/>
        <w:spacing w:after="0"/>
        <w:ind w:firstLine="786" w:firstLineChars="200"/>
        <w:jc w:val="left"/>
      </w:pPr>
      <w:r>
        <w:rPr>
          <w:snapToGrid w:val="0"/>
          <w:kern w:val="0"/>
          <w:sz w:val="28"/>
          <w:szCs w:val="28"/>
        </w:rPr>
        <w:t>项目已按环评和批复要求完成</w:t>
      </w:r>
      <w:r>
        <w:rPr>
          <w:snapToGrid w:val="0"/>
          <w:sz w:val="28"/>
          <w:szCs w:val="28"/>
        </w:rPr>
        <w:t>“三同时”建设，无重大变动，污染物达标排放，验收监测报告结论可信，验收合格。</w:t>
      </w:r>
    </w:p>
    <w:p>
      <w:pPr>
        <w:pStyle w:val="4"/>
        <w:spacing w:after="0"/>
        <w:ind w:firstLine="786" w:firstLineChars="200"/>
        <w:jc w:val="left"/>
        <w:rPr>
          <w:b/>
          <w:bCs/>
          <w:snapToGrid w:val="0"/>
          <w:kern w:val="0"/>
          <w:sz w:val="28"/>
          <w:szCs w:val="28"/>
        </w:rPr>
      </w:pPr>
      <w:r>
        <w:rPr>
          <w:b/>
          <w:bCs/>
          <w:snapToGrid w:val="0"/>
          <w:kern w:val="0"/>
          <w:sz w:val="28"/>
          <w:szCs w:val="28"/>
        </w:rPr>
        <w:t>六、后续要求</w:t>
      </w:r>
    </w:p>
    <w:p>
      <w:pPr>
        <w:pStyle w:val="4"/>
        <w:spacing w:after="0"/>
        <w:ind w:firstLine="786" w:firstLineChars="200"/>
        <w:jc w:val="left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1、</w:t>
      </w:r>
      <w:r>
        <w:rPr>
          <w:snapToGrid w:val="0"/>
          <w:kern w:val="0"/>
          <w:sz w:val="28"/>
          <w:szCs w:val="28"/>
        </w:rPr>
        <w:t>加强日常生产管理</w:t>
      </w:r>
      <w:r>
        <w:rPr>
          <w:snapToGrid w:val="0"/>
          <w:sz w:val="28"/>
          <w:szCs w:val="28"/>
        </w:rPr>
        <w:t>，减少杂散粉尘逸散。</w:t>
      </w:r>
    </w:p>
    <w:p>
      <w:pPr>
        <w:pStyle w:val="4"/>
        <w:spacing w:after="0"/>
        <w:ind w:firstLine="786" w:firstLineChars="200"/>
        <w:jc w:val="left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2、</w:t>
      </w:r>
      <w:r>
        <w:rPr>
          <w:snapToGrid w:val="0"/>
          <w:kern w:val="0"/>
          <w:sz w:val="28"/>
          <w:szCs w:val="28"/>
        </w:rPr>
        <w:t>规范危废库存储条件和标识</w:t>
      </w:r>
      <w:r>
        <w:rPr>
          <w:snapToGrid w:val="0"/>
          <w:sz w:val="28"/>
          <w:szCs w:val="28"/>
        </w:rPr>
        <w:t>。</w:t>
      </w:r>
    </w:p>
    <w:p>
      <w:pPr>
        <w:snapToGrid w:val="0"/>
        <w:jc w:val="right"/>
        <w:rPr>
          <w:b/>
          <w:bCs/>
          <w:snapToGrid w:val="0"/>
          <w:kern w:val="0"/>
          <w:sz w:val="28"/>
          <w:szCs w:val="28"/>
        </w:rPr>
      </w:pPr>
      <w:r>
        <w:rPr>
          <w:rFonts w:hint="eastAsia"/>
          <w:b/>
          <w:bCs/>
          <w:snapToGrid w:val="0"/>
          <w:kern w:val="0"/>
          <w:sz w:val="28"/>
          <w:szCs w:val="28"/>
        </w:rPr>
        <w:t>青岛百川通达机械有限公司</w:t>
      </w:r>
    </w:p>
    <w:p>
      <w:pPr>
        <w:snapToGrid w:val="0"/>
        <w:jc w:val="right"/>
        <w:rPr>
          <w:b/>
          <w:bCs/>
          <w:snapToGrid w:val="0"/>
          <w:kern w:val="0"/>
          <w:sz w:val="28"/>
          <w:szCs w:val="28"/>
        </w:rPr>
      </w:pPr>
    </w:p>
    <w:p>
      <w:pPr>
        <w:snapToGrid w:val="0"/>
        <w:jc w:val="right"/>
        <w:sectPr>
          <w:footerReference r:id="rId3" w:type="default"/>
          <w:footerReference r:id="rId4" w:type="even"/>
          <w:pgSz w:w="11906" w:h="16838"/>
          <w:pgMar w:top="1440" w:right="1080" w:bottom="1440" w:left="1080" w:header="851" w:footer="992" w:gutter="0"/>
          <w:pgNumType w:fmt="numberInDash"/>
          <w:cols w:space="720" w:num="1"/>
          <w:docGrid w:type="linesAndChars" w:linePitch="560" w:charSpace="23332"/>
        </w:sectPr>
      </w:pPr>
      <w:r>
        <w:rPr>
          <w:b/>
          <w:bCs/>
          <w:snapToGrid w:val="0"/>
          <w:kern w:val="0"/>
          <w:sz w:val="28"/>
          <w:szCs w:val="28"/>
        </w:rPr>
        <w:t>2021年</w:t>
      </w:r>
      <w:r>
        <w:rPr>
          <w:rFonts w:hint="eastAsia"/>
          <w:b/>
          <w:bCs/>
          <w:snapToGrid w:val="0"/>
          <w:kern w:val="0"/>
          <w:sz w:val="28"/>
          <w:szCs w:val="28"/>
        </w:rPr>
        <w:t>11</w:t>
      </w:r>
      <w:r>
        <w:rPr>
          <w:b/>
          <w:bCs/>
          <w:snapToGrid w:val="0"/>
          <w:kern w:val="0"/>
          <w:sz w:val="28"/>
          <w:szCs w:val="28"/>
        </w:rPr>
        <w:t>月6日</w:t>
      </w:r>
    </w:p>
    <w:p>
      <w:pPr>
        <w:snapToGrid w:val="0"/>
        <w:spacing w:line="360" w:lineRule="auto"/>
        <w:jc w:val="left"/>
        <w:rPr>
          <w:b/>
          <w:bCs/>
          <w:snapToGrid w:val="0"/>
          <w:kern w:val="0"/>
          <w:sz w:val="32"/>
          <w:szCs w:val="32"/>
        </w:rPr>
      </w:pPr>
      <w:r>
        <w:rPr>
          <w:rFonts w:hint="eastAsia"/>
          <w:b/>
          <w:bCs/>
          <w:snapToGrid w:val="0"/>
          <w:kern w:val="0"/>
          <w:sz w:val="32"/>
          <w:szCs w:val="32"/>
        </w:rPr>
        <w:t>附件：</w:t>
      </w:r>
    </w:p>
    <w:p>
      <w:pPr>
        <w:pStyle w:val="22"/>
        <w:rPr>
          <w:rFonts w:ascii="Times New Roman" w:hAnsi="Times New Roman" w:eastAsia="宋体" w:cs="Times New Roman"/>
          <w:b/>
          <w:bCs/>
          <w:snapToGrid w:val="0"/>
          <w:kern w:val="0"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bCs/>
          <w:snapToGrid w:val="0"/>
          <w:kern w:val="0"/>
          <w:sz w:val="32"/>
          <w:szCs w:val="32"/>
        </w:rPr>
        <w:t>青岛百川通达机械有限公司</w:t>
      </w:r>
    </w:p>
    <w:p>
      <w:pPr>
        <w:pStyle w:val="22"/>
        <w:rPr>
          <w:rFonts w:ascii="Times New Roman" w:hAnsi="Times New Roman" w:eastAsia="宋体" w:cs="Times New Roman"/>
          <w:b/>
          <w:bCs/>
          <w:snapToGrid w:val="0"/>
          <w:kern w:val="0"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bCs/>
          <w:snapToGrid w:val="0"/>
          <w:kern w:val="0"/>
          <w:sz w:val="32"/>
          <w:szCs w:val="32"/>
        </w:rPr>
        <w:t>百川通达环保装备/铸造机械装备/智能化机械设备</w:t>
      </w:r>
    </w:p>
    <w:p>
      <w:pPr>
        <w:snapToGrid w:val="0"/>
        <w:spacing w:line="360" w:lineRule="auto"/>
        <w:jc w:val="center"/>
        <w:rPr>
          <w:b/>
          <w:bCs/>
          <w:snapToGrid w:val="0"/>
          <w:kern w:val="0"/>
          <w:sz w:val="32"/>
          <w:szCs w:val="32"/>
        </w:rPr>
      </w:pPr>
      <w:r>
        <w:rPr>
          <w:rFonts w:hint="eastAsia"/>
          <w:b/>
          <w:bCs/>
          <w:snapToGrid w:val="0"/>
          <w:kern w:val="0"/>
          <w:sz w:val="32"/>
          <w:szCs w:val="32"/>
        </w:rPr>
        <w:t>扩建项目（一期）</w:t>
      </w:r>
      <w:r>
        <w:rPr>
          <w:b/>
          <w:bCs/>
          <w:snapToGrid w:val="0"/>
          <w:kern w:val="0"/>
          <w:sz w:val="32"/>
          <w:szCs w:val="32"/>
        </w:rPr>
        <w:t>竣工环境保护验收</w:t>
      </w:r>
      <w:r>
        <w:rPr>
          <w:rFonts w:hint="eastAsia"/>
          <w:b/>
          <w:bCs/>
          <w:snapToGrid w:val="0"/>
          <w:kern w:val="0"/>
          <w:sz w:val="32"/>
          <w:szCs w:val="32"/>
        </w:rPr>
        <w:t>人员信息</w:t>
      </w:r>
    </w:p>
    <w:p>
      <w:pPr>
        <w:pStyle w:val="7"/>
      </w:pPr>
    </w:p>
    <w:tbl>
      <w:tblPr>
        <w:tblStyle w:val="24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921"/>
        <w:gridCol w:w="1395"/>
        <w:gridCol w:w="2492"/>
        <w:gridCol w:w="1658"/>
        <w:gridCol w:w="16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验收组</w:t>
            </w:r>
          </w:p>
        </w:tc>
        <w:tc>
          <w:tcPr>
            <w:tcW w:w="7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单位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职务/职称</w:t>
            </w:r>
          </w:p>
        </w:tc>
        <w:tc>
          <w:tcPr>
            <w:tcW w:w="8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组长</w:t>
            </w:r>
          </w:p>
        </w:tc>
        <w:tc>
          <w:tcPr>
            <w:tcW w:w="9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建设单位</w:t>
            </w:r>
          </w:p>
        </w:tc>
        <w:tc>
          <w:tcPr>
            <w:tcW w:w="7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白洪瑞</w:t>
            </w:r>
          </w:p>
        </w:tc>
        <w:tc>
          <w:tcPr>
            <w:tcW w:w="1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青岛百川通达机械有限公司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  <w:r>
              <w:rPr>
                <w:snapToGrid w:val="0"/>
                <w:kern w:val="0"/>
                <w:sz w:val="24"/>
                <w:szCs w:val="24"/>
              </w:rPr>
              <w:t>副</w:t>
            </w: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总经理</w:t>
            </w:r>
          </w:p>
        </w:tc>
        <w:tc>
          <w:tcPr>
            <w:tcW w:w="8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1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成员</w:t>
            </w:r>
          </w:p>
        </w:tc>
        <w:tc>
          <w:tcPr>
            <w:tcW w:w="9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验收报告编制单位</w:t>
            </w:r>
          </w:p>
        </w:tc>
        <w:tc>
          <w:tcPr>
            <w:tcW w:w="7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刘</w:t>
            </w:r>
            <w:r>
              <w:rPr>
                <w:snapToGrid w:val="0"/>
                <w:kern w:val="0"/>
                <w:sz w:val="24"/>
                <w:szCs w:val="24"/>
              </w:rPr>
              <w:t>占周</w:t>
            </w:r>
          </w:p>
        </w:tc>
        <w:tc>
          <w:tcPr>
            <w:tcW w:w="1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青岛百川通达机械有限公司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主任</w:t>
            </w:r>
          </w:p>
        </w:tc>
        <w:tc>
          <w:tcPr>
            <w:tcW w:w="8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1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9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监测单位</w:t>
            </w:r>
          </w:p>
        </w:tc>
        <w:tc>
          <w:tcPr>
            <w:tcW w:w="7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王云鹏</w:t>
            </w:r>
          </w:p>
        </w:tc>
        <w:tc>
          <w:tcPr>
            <w:tcW w:w="1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青岛中旭检测检验有限公司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8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1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96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专家</w:t>
            </w:r>
          </w:p>
        </w:tc>
        <w:tc>
          <w:tcPr>
            <w:tcW w:w="7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王 犇</w:t>
            </w:r>
          </w:p>
        </w:tc>
        <w:tc>
          <w:tcPr>
            <w:tcW w:w="1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青岛科技大学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教授</w:t>
            </w:r>
          </w:p>
        </w:tc>
        <w:tc>
          <w:tcPr>
            <w:tcW w:w="8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1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96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7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谢洪波</w:t>
            </w:r>
          </w:p>
        </w:tc>
        <w:tc>
          <w:tcPr>
            <w:tcW w:w="1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青岛大学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教授</w:t>
            </w:r>
          </w:p>
        </w:tc>
        <w:tc>
          <w:tcPr>
            <w:tcW w:w="8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kern w:val="0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336" w:lineRule="auto"/>
        <w:jc w:val="right"/>
        <w:textAlignment w:val="bottom"/>
        <w:rPr>
          <w:color w:val="000000"/>
          <w:kern w:val="0"/>
          <w:sz w:val="24"/>
          <w:szCs w:val="24"/>
        </w:rPr>
      </w:pPr>
    </w:p>
    <w:p>
      <w:pPr>
        <w:snapToGrid w:val="0"/>
        <w:spacing w:line="360" w:lineRule="auto"/>
        <w:jc w:val="right"/>
        <w:rPr>
          <w:b/>
          <w:bCs/>
          <w:snapToGrid w:val="0"/>
          <w:kern w:val="0"/>
          <w:sz w:val="24"/>
          <w:szCs w:val="24"/>
        </w:rPr>
      </w:pPr>
    </w:p>
    <w:p>
      <w:pPr>
        <w:snapToGrid w:val="0"/>
        <w:spacing w:line="360" w:lineRule="auto"/>
        <w:jc w:val="right"/>
        <w:rPr>
          <w:color w:val="000000"/>
          <w:kern w:val="0"/>
          <w:sz w:val="24"/>
          <w:szCs w:val="24"/>
        </w:rPr>
      </w:pPr>
      <w:r>
        <w:rPr>
          <w:rFonts w:hint="eastAsia"/>
          <w:b/>
          <w:bCs/>
          <w:snapToGrid w:val="0"/>
          <w:kern w:val="0"/>
          <w:sz w:val="24"/>
          <w:szCs w:val="24"/>
        </w:rPr>
        <w:t>2021年11月6日</w:t>
      </w:r>
    </w:p>
    <w:sectPr>
      <w:pgSz w:w="11906" w:h="16838"/>
      <w:pgMar w:top="1440" w:right="1080" w:bottom="1440" w:left="1080" w:header="851" w:footer="992" w:gutter="0"/>
      <w:pgNumType w:fmt="numberInDash"/>
      <w:cols w:space="720" w:num="1"/>
      <w:docGrid w:type="linesAndChars" w:linePitch="560" w:charSpace="2333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汉鼎简书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ind w:firstLine="360"/>
      <w:jc w:val="center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>
    <w:pPr>
      <w:pStyle w:val="17"/>
      <w:ind w:firstLine="0" w:firstLineChars="0"/>
      <w:rPr>
        <w:rFonts w:eastAsia="楷体_GB2312" w:cs="Times New Roman"/>
        <w:b/>
        <w:bCs/>
        <w:snapToGrid w:val="0"/>
        <w:kern w:val="0"/>
        <w:sz w:val="22"/>
        <w:szCs w:val="22"/>
        <w:u w:val="single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ind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bullet"/>
      <w:pStyle w:val="6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62"/>
  <w:drawingGridVerticalSpacing w:val="280"/>
  <w:displayHorizontalDrawingGridEvery w:val="0"/>
  <w:displayVerticalDrawingGridEvery w:val="2"/>
  <w:doNotShadeFormData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8C7"/>
    <w:rsid w:val="0004355C"/>
    <w:rsid w:val="001A28C7"/>
    <w:rsid w:val="00A95CFF"/>
    <w:rsid w:val="00F64F72"/>
    <w:rsid w:val="60F25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99" w:semiHidden="0" w:name="toc 1"/>
    <w:lsdException w:qFormat="1" w:unhideWhenUsed="0" w:uiPriority="9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nhideWhenUsed="0" w:uiPriority="0" w:semiHidden="0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semiHidden="0" w:name="Date"/>
    <w:lsdException w:qFormat="1" w:unhideWhenUsed="0" w:uiPriority="99" w:semiHidden="0" w:name="Body Text First Indent"/>
    <w:lsdException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qFormat="1" w:unhideWhenUsed="0" w:uiPriority="9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9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9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9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9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9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9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8">
    <w:name w:val="heading 1"/>
    <w:basedOn w:val="1"/>
    <w:next w:val="1"/>
    <w:link w:val="36"/>
    <w:qFormat/>
    <w:uiPriority w:val="9"/>
    <w:pPr>
      <w:keepNext/>
      <w:keepLines/>
      <w:spacing w:before="340" w:after="330" w:line="578" w:lineRule="auto"/>
      <w:outlineLvl w:val="0"/>
    </w:pPr>
    <w:rPr>
      <w:rFonts w:ascii="黑体" w:hAnsi="黑体" w:eastAsia="黑体" w:cs="黑体"/>
      <w:sz w:val="32"/>
      <w:szCs w:val="32"/>
    </w:rPr>
  </w:style>
  <w:style w:type="paragraph" w:styleId="9">
    <w:name w:val="heading 2"/>
    <w:basedOn w:val="1"/>
    <w:next w:val="10"/>
    <w:link w:val="37"/>
    <w:semiHidden/>
    <w:unhideWhenUsed/>
    <w:qFormat/>
    <w:uiPriority w:val="9"/>
    <w:pPr>
      <w:keepNext/>
      <w:keepLines/>
      <w:spacing w:before="260" w:after="260" w:line="415" w:lineRule="auto"/>
      <w:outlineLvl w:val="1"/>
    </w:pPr>
    <w:rPr>
      <w:rFonts w:ascii="仿宋_GB2312" w:hAnsi="宋体" w:eastAsia="仿宋_GB2312" w:cs="仿宋_GB2312"/>
      <w:b/>
      <w:bCs/>
      <w:sz w:val="32"/>
      <w:szCs w:val="32"/>
    </w:rPr>
  </w:style>
  <w:style w:type="paragraph" w:styleId="11">
    <w:name w:val="heading 3"/>
    <w:basedOn w:val="1"/>
    <w:next w:val="1"/>
    <w:link w:val="38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仿宋_GB2312" w:hAnsi="宋体" w:eastAsia="仿宋_GB2312" w:cs="仿宋_GB2312"/>
      <w:b/>
      <w:bCs/>
      <w:sz w:val="32"/>
      <w:szCs w:val="32"/>
    </w:rPr>
  </w:style>
  <w:style w:type="character" w:default="1" w:styleId="33">
    <w:name w:val="Default Paragraph Font"/>
    <w:semiHidden/>
    <w:unhideWhenUsed/>
    <w:uiPriority w:val="1"/>
  </w:style>
  <w:style w:type="table" w:default="1" w:styleId="2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7"/>
    <w:link w:val="40"/>
    <w:uiPriority w:val="99"/>
    <w:pPr>
      <w:spacing w:after="120" w:line="240" w:lineRule="auto"/>
      <w:ind w:left="420" w:leftChars="200"/>
    </w:pPr>
    <w:rPr>
      <w:sz w:val="21"/>
      <w:szCs w:val="21"/>
    </w:rPr>
  </w:style>
  <w:style w:type="paragraph" w:styleId="3">
    <w:name w:val="Body Text Indent"/>
    <w:basedOn w:val="1"/>
    <w:next w:val="4"/>
    <w:link w:val="39"/>
    <w:qFormat/>
    <w:uiPriority w:val="99"/>
    <w:pPr>
      <w:spacing w:line="400" w:lineRule="atLeast"/>
      <w:ind w:firstLine="420"/>
    </w:pPr>
    <w:rPr>
      <w:rFonts w:ascii="仿宋_GB2312" w:hAnsi="宋体" w:eastAsia="仿宋_GB2312" w:cs="仿宋_GB2312"/>
      <w:sz w:val="32"/>
      <w:szCs w:val="32"/>
    </w:rPr>
  </w:style>
  <w:style w:type="paragraph" w:styleId="4">
    <w:name w:val="Body Text First Indent"/>
    <w:basedOn w:val="5"/>
    <w:next w:val="1"/>
    <w:link w:val="42"/>
    <w:qFormat/>
    <w:uiPriority w:val="99"/>
    <w:pPr>
      <w:ind w:firstLine="420" w:firstLineChars="100"/>
    </w:pPr>
  </w:style>
  <w:style w:type="paragraph" w:styleId="5">
    <w:name w:val="Body Text"/>
    <w:basedOn w:val="1"/>
    <w:next w:val="6"/>
    <w:link w:val="41"/>
    <w:qFormat/>
    <w:uiPriority w:val="99"/>
    <w:pPr>
      <w:spacing w:after="120"/>
    </w:pPr>
  </w:style>
  <w:style w:type="paragraph" w:styleId="6">
    <w:name w:val="List Bullet 5"/>
    <w:basedOn w:val="1"/>
    <w:uiPriority w:val="0"/>
    <w:pPr>
      <w:numPr>
        <w:ilvl w:val="0"/>
        <w:numId w:val="1"/>
      </w:numPr>
    </w:pPr>
  </w:style>
  <w:style w:type="paragraph" w:customStyle="1" w:styleId="7">
    <w:name w:val="Default"/>
    <w:next w:val="2"/>
    <w:qFormat/>
    <w:uiPriority w:val="99"/>
    <w:pPr>
      <w:widowControl w:val="0"/>
      <w:autoSpaceDE w:val="0"/>
      <w:autoSpaceDN w:val="0"/>
      <w:adjustRightInd w:val="0"/>
    </w:pPr>
    <w:rPr>
      <w:rFonts w:ascii="隶书" w:hAnsi="Times New Roman" w:eastAsia="隶书" w:cs="隶书"/>
      <w:color w:val="000000"/>
      <w:sz w:val="24"/>
      <w:szCs w:val="24"/>
      <w:lang w:val="en-US" w:eastAsia="zh-CN" w:bidi="ar-SA"/>
    </w:rPr>
  </w:style>
  <w:style w:type="paragraph" w:styleId="10">
    <w:name w:val="Normal Indent"/>
    <w:basedOn w:val="1"/>
    <w:link w:val="62"/>
    <w:qFormat/>
    <w:uiPriority w:val="99"/>
    <w:pPr>
      <w:snapToGrid w:val="0"/>
      <w:spacing w:before="60" w:after="60" w:line="300" w:lineRule="auto"/>
      <w:ind w:firstLine="420"/>
    </w:pPr>
    <w:rPr>
      <w:sz w:val="24"/>
      <w:szCs w:val="24"/>
    </w:rPr>
  </w:style>
  <w:style w:type="paragraph" w:styleId="12">
    <w:name w:val="Document Map"/>
    <w:basedOn w:val="1"/>
    <w:link w:val="43"/>
    <w:qFormat/>
    <w:uiPriority w:val="99"/>
    <w:pPr>
      <w:shd w:val="clear" w:color="auto" w:fill="000080"/>
    </w:pPr>
  </w:style>
  <w:style w:type="paragraph" w:styleId="13">
    <w:name w:val="annotation text"/>
    <w:basedOn w:val="1"/>
    <w:link w:val="44"/>
    <w:qFormat/>
    <w:uiPriority w:val="99"/>
    <w:pPr>
      <w:jc w:val="left"/>
    </w:pPr>
  </w:style>
  <w:style w:type="paragraph" w:styleId="14">
    <w:name w:val="Plain Text"/>
    <w:basedOn w:val="1"/>
    <w:link w:val="45"/>
    <w:qFormat/>
    <w:uiPriority w:val="99"/>
    <w:rPr>
      <w:rFonts w:ascii="宋体" w:hAnsi="Courier New" w:cs="宋体"/>
    </w:rPr>
  </w:style>
  <w:style w:type="paragraph" w:styleId="15">
    <w:name w:val="Date"/>
    <w:basedOn w:val="1"/>
    <w:next w:val="1"/>
    <w:link w:val="46"/>
    <w:qFormat/>
    <w:uiPriority w:val="99"/>
    <w:pPr>
      <w:ind w:left="100" w:leftChars="2500"/>
    </w:pPr>
    <w:rPr>
      <w:rFonts w:ascii="仿宋_GB2312" w:hAnsi="宋体" w:eastAsia="仿宋_GB2312" w:cs="仿宋_GB2312"/>
      <w:sz w:val="32"/>
      <w:szCs w:val="32"/>
    </w:rPr>
  </w:style>
  <w:style w:type="paragraph" w:styleId="16">
    <w:name w:val="Balloon Text"/>
    <w:basedOn w:val="1"/>
    <w:link w:val="47"/>
    <w:qFormat/>
    <w:uiPriority w:val="99"/>
    <w:rPr>
      <w:rFonts w:ascii="仿宋_GB2312" w:hAnsi="宋体" w:eastAsia="仿宋_GB2312" w:cs="仿宋_GB2312"/>
      <w:sz w:val="18"/>
      <w:szCs w:val="18"/>
    </w:rPr>
  </w:style>
  <w:style w:type="paragraph" w:styleId="17">
    <w:name w:val="footer"/>
    <w:basedOn w:val="1"/>
    <w:link w:val="48"/>
    <w:qFormat/>
    <w:uiPriority w:val="99"/>
    <w:pPr>
      <w:tabs>
        <w:tab w:val="center" w:pos="4140"/>
        <w:tab w:val="right" w:pos="8300"/>
      </w:tabs>
      <w:snapToGrid w:val="0"/>
      <w:ind w:firstLine="200" w:firstLineChars="200"/>
    </w:pPr>
    <w:rPr>
      <w:rFonts w:ascii="仿宋_GB2312" w:hAnsi="宋体" w:eastAsia="仿宋_GB2312" w:cs="仿宋_GB2312"/>
      <w:sz w:val="18"/>
      <w:szCs w:val="18"/>
    </w:rPr>
  </w:style>
  <w:style w:type="paragraph" w:styleId="18">
    <w:name w:val="header"/>
    <w:basedOn w:val="1"/>
    <w:link w:val="49"/>
    <w:qFormat/>
    <w:uiPriority w:val="99"/>
    <w:pPr>
      <w:pBdr>
        <w:bottom w:val="single" w:color="auto" w:sz="6" w:space="31"/>
      </w:pBdr>
      <w:tabs>
        <w:tab w:val="center" w:pos="4140"/>
        <w:tab w:val="right" w:pos="8300"/>
      </w:tabs>
      <w:snapToGrid w:val="0"/>
      <w:ind w:firstLine="360" w:firstLineChars="200"/>
      <w:jc w:val="center"/>
    </w:pPr>
    <w:rPr>
      <w:rFonts w:ascii="仿宋_GB2312" w:hAnsi="宋体" w:eastAsia="仿宋_GB2312" w:cs="仿宋_GB2312"/>
      <w:sz w:val="18"/>
      <w:szCs w:val="18"/>
    </w:rPr>
  </w:style>
  <w:style w:type="paragraph" w:styleId="19">
    <w:name w:val="toc 1"/>
    <w:basedOn w:val="1"/>
    <w:next w:val="1"/>
    <w:qFormat/>
    <w:uiPriority w:val="99"/>
    <w:pPr>
      <w:tabs>
        <w:tab w:val="right" w:leader="dot" w:pos="8280"/>
      </w:tabs>
      <w:jc w:val="center"/>
    </w:pPr>
    <w:rPr>
      <w:rFonts w:ascii="黑体" w:hAnsi="黑体" w:eastAsia="黑体" w:cs="黑体"/>
      <w:sz w:val="44"/>
      <w:szCs w:val="44"/>
    </w:rPr>
  </w:style>
  <w:style w:type="paragraph" w:styleId="20">
    <w:name w:val="toc 2"/>
    <w:basedOn w:val="1"/>
    <w:next w:val="1"/>
    <w:qFormat/>
    <w:uiPriority w:val="99"/>
    <w:pPr>
      <w:ind w:left="420" w:leftChars="200"/>
    </w:pPr>
  </w:style>
  <w:style w:type="paragraph" w:styleId="21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22">
    <w:name w:val="Title"/>
    <w:basedOn w:val="1"/>
    <w:link w:val="50"/>
    <w:qFormat/>
    <w:uiPriority w:val="10"/>
    <w:pPr>
      <w:jc w:val="center"/>
    </w:pPr>
    <w:rPr>
      <w:rFonts w:ascii="方正小标宋简体" w:hAnsi="宋体" w:eastAsia="方正小标宋简体" w:cs="方正小标宋简体"/>
      <w:sz w:val="36"/>
      <w:szCs w:val="36"/>
    </w:rPr>
  </w:style>
  <w:style w:type="paragraph" w:styleId="23">
    <w:name w:val="annotation subject"/>
    <w:basedOn w:val="13"/>
    <w:next w:val="13"/>
    <w:link w:val="72"/>
    <w:qFormat/>
    <w:uiPriority w:val="99"/>
    <w:rPr>
      <w:b/>
      <w:bCs/>
    </w:rPr>
  </w:style>
  <w:style w:type="table" w:styleId="25">
    <w:name w:val="Table Grid"/>
    <w:basedOn w:val="24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26">
    <w:name w:val="Medium Grid 3"/>
    <w:basedOn w:val="24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27">
    <w:name w:val="Medium Grid 3 Accent 1"/>
    <w:basedOn w:val="24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28">
    <w:name w:val="Medium Grid 3 Accent 2"/>
    <w:basedOn w:val="24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29">
    <w:name w:val="Medium Grid 3 Accent 3"/>
    <w:basedOn w:val="24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30">
    <w:name w:val="Medium Grid 3 Accent 4"/>
    <w:basedOn w:val="24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31">
    <w:name w:val="Medium Grid 3 Accent 5"/>
    <w:basedOn w:val="24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32">
    <w:name w:val="Medium Grid 3 Accent 6"/>
    <w:basedOn w:val="24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character" w:styleId="34">
    <w:name w:val="page number"/>
    <w:qFormat/>
    <w:uiPriority w:val="99"/>
    <w:rPr>
      <w:rFonts w:ascii="Times New Roman" w:hAnsi="Times New Roman" w:eastAsia="宋体" w:cs="Times New Roman"/>
    </w:rPr>
  </w:style>
  <w:style w:type="character" w:styleId="35">
    <w:name w:val="Hyperlink"/>
    <w:qFormat/>
    <w:uiPriority w:val="99"/>
    <w:rPr>
      <w:color w:val="0000FF"/>
      <w:u w:val="single"/>
    </w:rPr>
  </w:style>
  <w:style w:type="character" w:customStyle="1" w:styleId="36">
    <w:name w:val="标题 1 字符"/>
    <w:link w:val="8"/>
    <w:qFormat/>
    <w:uiPriority w:val="99"/>
    <w:rPr>
      <w:rFonts w:ascii="黑体" w:hAnsi="黑体" w:eastAsia="黑体" w:cs="黑体"/>
      <w:kern w:val="2"/>
      <w:sz w:val="32"/>
      <w:szCs w:val="32"/>
      <w:lang w:val="en-US" w:eastAsia="zh-CN"/>
    </w:rPr>
  </w:style>
  <w:style w:type="character" w:customStyle="1" w:styleId="37">
    <w:name w:val="标题 2 字符"/>
    <w:link w:val="9"/>
    <w:qFormat/>
    <w:uiPriority w:val="99"/>
    <w:rPr>
      <w:rFonts w:ascii="仿宋_GB2312" w:hAnsi="宋体" w:eastAsia="仿宋_GB2312" w:cs="仿宋_GB2312"/>
      <w:b/>
      <w:bCs/>
      <w:kern w:val="2"/>
      <w:sz w:val="32"/>
      <w:szCs w:val="32"/>
      <w:lang w:val="en-US" w:eastAsia="zh-CN"/>
    </w:rPr>
  </w:style>
  <w:style w:type="character" w:customStyle="1" w:styleId="38">
    <w:name w:val="标题 3 字符"/>
    <w:link w:val="11"/>
    <w:qFormat/>
    <w:uiPriority w:val="99"/>
    <w:rPr>
      <w:rFonts w:ascii="仿宋_GB2312" w:hAnsi="宋体" w:eastAsia="仿宋_GB2312" w:cs="仿宋_GB2312"/>
      <w:b/>
      <w:bCs/>
      <w:kern w:val="2"/>
      <w:sz w:val="32"/>
      <w:szCs w:val="32"/>
    </w:rPr>
  </w:style>
  <w:style w:type="character" w:customStyle="1" w:styleId="39">
    <w:name w:val="正文文本缩进 字符"/>
    <w:link w:val="3"/>
    <w:qFormat/>
    <w:uiPriority w:val="99"/>
    <w:rPr>
      <w:rFonts w:ascii="仿宋_GB2312" w:hAnsi="宋体" w:eastAsia="仿宋_GB2312" w:cs="仿宋_GB2312"/>
      <w:kern w:val="2"/>
      <w:sz w:val="32"/>
      <w:szCs w:val="32"/>
    </w:rPr>
  </w:style>
  <w:style w:type="character" w:customStyle="1" w:styleId="40">
    <w:name w:val="正文文本首行缩进 2 字符"/>
    <w:link w:val="2"/>
    <w:qFormat/>
    <w:uiPriority w:val="99"/>
    <w:rPr>
      <w:rFonts w:ascii="仿宋_GB2312" w:hAnsi="宋体" w:eastAsia="仿宋_GB2312" w:cs="仿宋_GB2312"/>
      <w:kern w:val="2"/>
      <w:sz w:val="32"/>
      <w:szCs w:val="21"/>
    </w:rPr>
  </w:style>
  <w:style w:type="character" w:customStyle="1" w:styleId="41">
    <w:name w:val="正文文本 字符"/>
    <w:link w:val="5"/>
    <w:qFormat/>
    <w:uiPriority w:val="99"/>
    <w:rPr>
      <w:szCs w:val="21"/>
    </w:rPr>
  </w:style>
  <w:style w:type="character" w:customStyle="1" w:styleId="42">
    <w:name w:val="正文文本首行缩进 字符"/>
    <w:link w:val="4"/>
    <w:qFormat/>
    <w:uiPriority w:val="99"/>
    <w:rPr>
      <w:szCs w:val="21"/>
    </w:rPr>
  </w:style>
  <w:style w:type="character" w:customStyle="1" w:styleId="43">
    <w:name w:val="文档结构图 字符"/>
    <w:link w:val="12"/>
    <w:qFormat/>
    <w:uiPriority w:val="99"/>
    <w:rPr>
      <w:sz w:val="0"/>
      <w:szCs w:val="0"/>
    </w:rPr>
  </w:style>
  <w:style w:type="character" w:customStyle="1" w:styleId="44">
    <w:name w:val="批注文字 字符"/>
    <w:link w:val="13"/>
    <w:qFormat/>
    <w:uiPriority w:val="99"/>
    <w:rPr>
      <w:kern w:val="2"/>
      <w:sz w:val="24"/>
      <w:szCs w:val="24"/>
    </w:rPr>
  </w:style>
  <w:style w:type="character" w:customStyle="1" w:styleId="45">
    <w:name w:val="纯文本 字符"/>
    <w:link w:val="14"/>
    <w:qFormat/>
    <w:uiPriority w:val="99"/>
    <w:rPr>
      <w:rFonts w:ascii="宋体" w:hAnsi="Courier New" w:cs="Courier New"/>
      <w:szCs w:val="21"/>
    </w:rPr>
  </w:style>
  <w:style w:type="character" w:customStyle="1" w:styleId="46">
    <w:name w:val="日期 字符"/>
    <w:link w:val="15"/>
    <w:qFormat/>
    <w:uiPriority w:val="99"/>
    <w:rPr>
      <w:rFonts w:ascii="仿宋_GB2312" w:hAnsi="宋体" w:eastAsia="仿宋_GB2312" w:cs="仿宋_GB2312"/>
      <w:kern w:val="2"/>
      <w:sz w:val="32"/>
      <w:szCs w:val="32"/>
    </w:rPr>
  </w:style>
  <w:style w:type="character" w:customStyle="1" w:styleId="47">
    <w:name w:val="批注框文本 字符"/>
    <w:link w:val="16"/>
    <w:qFormat/>
    <w:uiPriority w:val="99"/>
    <w:rPr>
      <w:rFonts w:ascii="仿宋_GB2312" w:hAnsi="宋体" w:eastAsia="仿宋_GB2312" w:cs="仿宋_GB2312"/>
      <w:kern w:val="2"/>
      <w:sz w:val="18"/>
      <w:szCs w:val="18"/>
    </w:rPr>
  </w:style>
  <w:style w:type="character" w:customStyle="1" w:styleId="48">
    <w:name w:val="页脚 字符"/>
    <w:link w:val="17"/>
    <w:qFormat/>
    <w:uiPriority w:val="99"/>
    <w:rPr>
      <w:rFonts w:ascii="仿宋_GB2312" w:hAnsi="宋体" w:eastAsia="仿宋_GB2312" w:cs="仿宋_GB2312"/>
      <w:kern w:val="2"/>
      <w:sz w:val="18"/>
      <w:szCs w:val="18"/>
    </w:rPr>
  </w:style>
  <w:style w:type="character" w:customStyle="1" w:styleId="49">
    <w:name w:val="页眉 字符"/>
    <w:link w:val="18"/>
    <w:qFormat/>
    <w:uiPriority w:val="99"/>
    <w:rPr>
      <w:rFonts w:ascii="仿宋_GB2312" w:hAnsi="宋体" w:eastAsia="仿宋_GB2312" w:cs="仿宋_GB2312"/>
      <w:kern w:val="2"/>
      <w:sz w:val="18"/>
      <w:szCs w:val="18"/>
    </w:rPr>
  </w:style>
  <w:style w:type="character" w:customStyle="1" w:styleId="50">
    <w:name w:val="标题 字符"/>
    <w:link w:val="22"/>
    <w:qFormat/>
    <w:uiPriority w:val="99"/>
    <w:rPr>
      <w:rFonts w:ascii="方正小标宋简体" w:hAnsi="宋体" w:eastAsia="方正小标宋简体" w:cs="方正小标宋简体"/>
      <w:kern w:val="2"/>
      <w:sz w:val="36"/>
      <w:szCs w:val="36"/>
      <w:lang w:val="en-US" w:eastAsia="zh-CN"/>
    </w:rPr>
  </w:style>
  <w:style w:type="paragraph" w:customStyle="1" w:styleId="51">
    <w:name w:val="CEE正文"/>
    <w:basedOn w:val="1"/>
    <w:link w:val="66"/>
    <w:qFormat/>
    <w:uiPriority w:val="99"/>
    <w:pPr>
      <w:spacing w:line="360" w:lineRule="auto"/>
    </w:pPr>
    <w:rPr>
      <w:kern w:val="0"/>
      <w:sz w:val="24"/>
      <w:szCs w:val="24"/>
    </w:rPr>
  </w:style>
  <w:style w:type="paragraph" w:customStyle="1" w:styleId="52">
    <w:name w:val="p0"/>
    <w:basedOn w:val="1"/>
    <w:qFormat/>
    <w:uiPriority w:val="99"/>
    <w:pPr>
      <w:widowControl/>
    </w:pPr>
    <w:rPr>
      <w:kern w:val="0"/>
    </w:rPr>
  </w:style>
  <w:style w:type="paragraph" w:customStyle="1" w:styleId="53">
    <w:name w:val="默认段落字体 Para Char Char Char Char"/>
    <w:basedOn w:val="1"/>
    <w:qFormat/>
    <w:uiPriority w:val="99"/>
    <w:pPr>
      <w:spacing w:line="360" w:lineRule="auto"/>
    </w:pPr>
    <w:rPr>
      <w:rFonts w:ascii="宋体" w:cs="宋体"/>
      <w:sz w:val="24"/>
      <w:szCs w:val="24"/>
    </w:rPr>
  </w:style>
  <w:style w:type="paragraph" w:customStyle="1" w:styleId="54">
    <w:name w:val="我的表格"/>
    <w:basedOn w:val="1"/>
    <w:qFormat/>
    <w:uiPriority w:val="99"/>
    <w:pPr>
      <w:autoSpaceDE w:val="0"/>
      <w:autoSpaceDN w:val="0"/>
      <w:adjustRightInd w:val="0"/>
      <w:jc w:val="center"/>
    </w:pPr>
    <w:rPr>
      <w:kern w:val="0"/>
    </w:rPr>
  </w:style>
  <w:style w:type="paragraph" w:customStyle="1" w:styleId="55">
    <w:name w:val="表文字"/>
    <w:basedOn w:val="1"/>
    <w:link w:val="67"/>
    <w:qFormat/>
    <w:uiPriority w:val="99"/>
    <w:pPr>
      <w:topLinePunct/>
      <w:adjustRightInd w:val="0"/>
      <w:spacing w:line="240" w:lineRule="exact"/>
      <w:textAlignment w:val="baseline"/>
    </w:pPr>
    <w:rPr>
      <w:rFonts w:eastAsia="汉鼎简书宋"/>
    </w:rPr>
  </w:style>
  <w:style w:type="paragraph" w:customStyle="1" w:styleId="56">
    <w:name w:val="默认段落字体 Para Char Char Char Char Char Char Char"/>
    <w:basedOn w:val="1"/>
    <w:qFormat/>
    <w:uiPriority w:val="99"/>
  </w:style>
  <w:style w:type="paragraph" w:customStyle="1" w:styleId="57">
    <w:name w:val="正文2"/>
    <w:basedOn w:val="1"/>
    <w:link w:val="65"/>
    <w:qFormat/>
    <w:uiPriority w:val="99"/>
    <w:pPr>
      <w:snapToGrid w:val="0"/>
      <w:spacing w:line="500" w:lineRule="atLeast"/>
      <w:ind w:firstLine="567"/>
    </w:pPr>
    <w:rPr>
      <w:sz w:val="24"/>
      <w:szCs w:val="24"/>
    </w:rPr>
  </w:style>
  <w:style w:type="paragraph" w:customStyle="1" w:styleId="58">
    <w:name w:val="公文标题格式"/>
    <w:basedOn w:val="1"/>
    <w:qFormat/>
    <w:uiPriority w:val="99"/>
    <w:pPr>
      <w:spacing w:line="620" w:lineRule="exact"/>
      <w:ind w:right="11" w:rightChars="11"/>
      <w:jc w:val="center"/>
    </w:pPr>
    <w:rPr>
      <w:rFonts w:ascii="方正小标宋简体" w:hAnsi="华文中宋" w:eastAsia="方正小标宋简体" w:cs="方正小标宋简体"/>
      <w:sz w:val="44"/>
      <w:szCs w:val="44"/>
    </w:rPr>
  </w:style>
  <w:style w:type="paragraph" w:customStyle="1" w:styleId="59">
    <w:name w:val="落款"/>
    <w:basedOn w:val="1"/>
    <w:link w:val="64"/>
    <w:qFormat/>
    <w:uiPriority w:val="99"/>
    <w:pPr>
      <w:tabs>
        <w:tab w:val="left" w:pos="8844"/>
      </w:tabs>
      <w:wordWrap w:val="0"/>
      <w:ind w:right="400" w:rightChars="400"/>
      <w:jc w:val="right"/>
    </w:pPr>
    <w:rPr>
      <w:rFonts w:ascii="仿宋_GB2312" w:hAnsi="宋体" w:eastAsia="仿宋_GB2312" w:cs="仿宋_GB2312"/>
      <w:sz w:val="32"/>
      <w:szCs w:val="32"/>
    </w:rPr>
  </w:style>
  <w:style w:type="paragraph" w:customStyle="1" w:styleId="60">
    <w:name w:val="陈光的正文"/>
    <w:basedOn w:val="1"/>
    <w:link w:val="63"/>
    <w:qFormat/>
    <w:uiPriority w:val="99"/>
    <w:pPr>
      <w:adjustRightInd w:val="0"/>
      <w:snapToGrid w:val="0"/>
      <w:spacing w:beforeLines="10" w:afterLines="10" w:line="360" w:lineRule="auto"/>
      <w:ind w:firstLine="560"/>
    </w:pPr>
    <w:rPr>
      <w:sz w:val="28"/>
      <w:szCs w:val="28"/>
    </w:rPr>
  </w:style>
  <w:style w:type="paragraph" w:customStyle="1" w:styleId="61">
    <w:name w:val="我的正文"/>
    <w:basedOn w:val="1"/>
    <w:qFormat/>
    <w:uiPriority w:val="99"/>
    <w:pPr>
      <w:spacing w:line="312" w:lineRule="auto"/>
    </w:pPr>
    <w:rPr>
      <w:sz w:val="24"/>
      <w:szCs w:val="24"/>
    </w:rPr>
  </w:style>
  <w:style w:type="character" w:customStyle="1" w:styleId="62">
    <w:name w:val="正文缩进 字符"/>
    <w:link w:val="10"/>
    <w:qFormat/>
    <w:uiPriority w:val="99"/>
    <w:rPr>
      <w:rFonts w:ascii="Times New Roman" w:hAnsi="Times New Roman" w:eastAsia="宋体" w:cs="Times New Roman"/>
      <w:kern w:val="2"/>
      <w:sz w:val="24"/>
      <w:szCs w:val="24"/>
    </w:rPr>
  </w:style>
  <w:style w:type="character" w:customStyle="1" w:styleId="63">
    <w:name w:val="陈光的正文 Char Char"/>
    <w:link w:val="60"/>
    <w:qFormat/>
    <w:uiPriority w:val="99"/>
    <w:rPr>
      <w:rFonts w:ascii="Times New Roman" w:hAnsi="Times New Roman" w:eastAsia="宋体" w:cs="Times New Roman"/>
      <w:kern w:val="2"/>
      <w:sz w:val="28"/>
      <w:szCs w:val="28"/>
    </w:rPr>
  </w:style>
  <w:style w:type="character" w:customStyle="1" w:styleId="64">
    <w:name w:val="落款 Char"/>
    <w:link w:val="59"/>
    <w:qFormat/>
    <w:uiPriority w:val="99"/>
    <w:rPr>
      <w:rFonts w:ascii="仿宋_GB2312" w:hAnsi="宋体" w:eastAsia="仿宋_GB2312" w:cs="仿宋_GB2312"/>
      <w:kern w:val="2"/>
      <w:sz w:val="32"/>
      <w:szCs w:val="32"/>
      <w:lang w:val="en-US" w:eastAsia="zh-CN"/>
    </w:rPr>
  </w:style>
  <w:style w:type="character" w:customStyle="1" w:styleId="65">
    <w:name w:val="正文2 Char Char"/>
    <w:link w:val="57"/>
    <w:qFormat/>
    <w:uiPriority w:val="99"/>
    <w:rPr>
      <w:rFonts w:ascii="Times New Roman" w:hAnsi="Times New Roman" w:eastAsia="宋体" w:cs="Times New Roman"/>
      <w:kern w:val="2"/>
      <w:sz w:val="24"/>
      <w:szCs w:val="24"/>
      <w:lang w:val="en-US" w:eastAsia="zh-CN"/>
    </w:rPr>
  </w:style>
  <w:style w:type="character" w:customStyle="1" w:styleId="66">
    <w:name w:val="CEE正文 Char"/>
    <w:link w:val="51"/>
    <w:qFormat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67">
    <w:name w:val="表文字 Char"/>
    <w:link w:val="55"/>
    <w:qFormat/>
    <w:uiPriority w:val="99"/>
    <w:rPr>
      <w:rFonts w:ascii="Times New Roman" w:hAnsi="Times New Roman" w:eastAsia="汉鼎简书宋" w:cs="Times New Roman"/>
      <w:kern w:val="2"/>
      <w:sz w:val="21"/>
      <w:szCs w:val="21"/>
      <w:lang w:val="en-US" w:eastAsia="zh-CN"/>
    </w:rPr>
  </w:style>
  <w:style w:type="paragraph" w:customStyle="1" w:styleId="68">
    <w:name w:val="普通(网站)1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69">
    <w:name w:val="普通(网站)2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70">
    <w:name w:val="List Paragraph"/>
    <w:basedOn w:val="1"/>
    <w:qFormat/>
    <w:uiPriority w:val="99"/>
    <w:pPr>
      <w:ind w:firstLine="420" w:firstLineChars="200"/>
    </w:pPr>
  </w:style>
  <w:style w:type="paragraph" w:customStyle="1" w:styleId="71">
    <w:name w:val="文字描述"/>
    <w:basedOn w:val="1"/>
    <w:qFormat/>
    <w:uiPriority w:val="99"/>
    <w:pPr>
      <w:adjustRightInd w:val="0"/>
      <w:snapToGrid w:val="0"/>
      <w:spacing w:line="360" w:lineRule="auto"/>
      <w:ind w:firstLine="200" w:firstLineChars="200"/>
    </w:pPr>
    <w:rPr>
      <w:spacing w:val="-2"/>
      <w:sz w:val="24"/>
      <w:szCs w:val="24"/>
    </w:rPr>
  </w:style>
  <w:style w:type="character" w:customStyle="1" w:styleId="72">
    <w:name w:val="批注主题 字符"/>
    <w:link w:val="23"/>
    <w:qFormat/>
    <w:uiPriority w:val="99"/>
    <w:rPr>
      <w:b/>
      <w:bCs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HaoXiTong.com</Company>
  <Pages>1</Pages>
  <Words>402</Words>
  <Characters>2297</Characters>
  <Lines>19</Lines>
  <Paragraphs>5</Paragraphs>
  <TotalTime>13</TotalTime>
  <ScaleCrop>false</ScaleCrop>
  <LinksUpToDate>false</LinksUpToDate>
  <CharactersWithSpaces>2694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2018-10-07T01:15:00Z</dcterms:created>
  <dc:creator>Administrator</dc:creator>
  <cp:lastModifiedBy>环保管家</cp:lastModifiedBy>
  <cp:lastPrinted>2021-11-06T03:57:00Z</cp:lastPrinted>
  <dcterms:modified xsi:type="dcterms:W3CDTF">2021-11-15T01:58:58Z</dcterms:modified>
  <dc:title>湛江奥里油发电厂（2×600兆瓦）油改煤工程</dc:title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34BE9B28115F4E6D9D30C756FD9559AD</vt:lpwstr>
  </property>
</Properties>
</file>