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rPr>
          <w:rFonts w:hint="eastAsia" w:ascii="Times New Roman" w:hAnsi="Times New Roman" w:eastAsia="宋体" w:cs="Times New Roman"/>
          <w:b/>
          <w:bCs/>
          <w:snapToGrid w:val="0"/>
          <w:kern w:val="0"/>
          <w:lang w:eastAsia="zh-CN"/>
        </w:rPr>
      </w:pPr>
      <w:r>
        <w:rPr>
          <w:rFonts w:hint="eastAsia" w:ascii="Times New Roman" w:hAnsi="Times New Roman" w:eastAsia="宋体" w:cs="Times New Roman"/>
          <w:b/>
          <w:bCs/>
          <w:snapToGrid w:val="0"/>
          <w:kern w:val="0"/>
          <w:lang w:eastAsia="zh-CN"/>
        </w:rPr>
        <w:t>青岛汇众纸业有限公司</w:t>
      </w:r>
    </w:p>
    <w:p>
      <w:pPr>
        <w:pStyle w:val="19"/>
        <w:rPr>
          <w:rFonts w:hint="eastAsia" w:ascii="Times New Roman" w:hAnsi="Times New Roman" w:eastAsia="宋体" w:cs="Times New Roman"/>
          <w:b/>
          <w:bCs/>
          <w:snapToGrid w:val="0"/>
          <w:kern w:val="0"/>
          <w:lang w:eastAsia="zh-CN"/>
        </w:rPr>
      </w:pPr>
      <w:r>
        <w:rPr>
          <w:rFonts w:hint="eastAsia" w:ascii="Times New Roman" w:hAnsi="Times New Roman" w:eastAsia="宋体" w:cs="Times New Roman"/>
          <w:b/>
          <w:bCs/>
          <w:snapToGrid w:val="0"/>
          <w:kern w:val="0"/>
          <w:lang w:eastAsia="zh-CN"/>
        </w:rPr>
        <w:t>果袋生产项目</w:t>
      </w:r>
    </w:p>
    <w:p>
      <w:pPr>
        <w:pStyle w:val="19"/>
        <w:rPr>
          <w:rFonts w:ascii="Times New Roman" w:hAnsi="Times New Roman" w:eastAsia="宋体" w:cs="Times New Roman"/>
          <w:b/>
          <w:bCs/>
          <w:snapToGrid w:val="0"/>
          <w:kern w:val="0"/>
          <w:lang w:val="zh-TW"/>
        </w:rPr>
      </w:pPr>
      <w:r>
        <w:rPr>
          <w:rFonts w:ascii="Times New Roman" w:hAnsi="Times New Roman" w:eastAsia="宋体" w:cs="Times New Roman"/>
          <w:b/>
          <w:bCs/>
          <w:snapToGrid w:val="0"/>
          <w:kern w:val="0"/>
        </w:rPr>
        <w:t>竣工环境保护验收意见</w:t>
      </w:r>
    </w:p>
    <w:p>
      <w:pPr>
        <w:adjustRightInd w:val="0"/>
        <w:snapToGrid w:val="0"/>
        <w:ind w:firstLine="607"/>
        <w:jc w:val="left"/>
        <w:rPr>
          <w:snapToGrid w:val="0"/>
          <w:kern w:val="0"/>
          <w:sz w:val="28"/>
          <w:szCs w:val="28"/>
        </w:rPr>
      </w:pPr>
    </w:p>
    <w:p>
      <w:pPr>
        <w:pStyle w:val="21"/>
        <w:spacing w:after="0"/>
        <w:ind w:firstLine="786" w:firstLineChars="200"/>
        <w:jc w:val="left"/>
        <w:rPr>
          <w:snapToGrid w:val="0"/>
          <w:kern w:val="0"/>
          <w:sz w:val="28"/>
          <w:szCs w:val="28"/>
        </w:rPr>
      </w:pPr>
      <w:r>
        <w:rPr>
          <w:snapToGrid w:val="0"/>
          <w:kern w:val="0"/>
          <w:sz w:val="28"/>
          <w:szCs w:val="28"/>
        </w:rPr>
        <w:t>20</w:t>
      </w:r>
      <w:r>
        <w:rPr>
          <w:rFonts w:hint="eastAsia"/>
          <w:snapToGrid w:val="0"/>
          <w:kern w:val="0"/>
          <w:sz w:val="28"/>
          <w:szCs w:val="28"/>
        </w:rPr>
        <w:t>20</w:t>
      </w:r>
      <w:r>
        <w:rPr>
          <w:snapToGrid w:val="0"/>
          <w:kern w:val="0"/>
          <w:sz w:val="28"/>
          <w:szCs w:val="28"/>
        </w:rPr>
        <w:t>年</w:t>
      </w:r>
      <w:r>
        <w:rPr>
          <w:rFonts w:hint="eastAsia"/>
          <w:snapToGrid w:val="0"/>
          <w:kern w:val="0"/>
          <w:sz w:val="28"/>
          <w:szCs w:val="28"/>
          <w:lang w:val="en-US" w:eastAsia="zh-CN"/>
        </w:rPr>
        <w:t>6</w:t>
      </w:r>
      <w:r>
        <w:rPr>
          <w:snapToGrid w:val="0"/>
          <w:kern w:val="0"/>
          <w:sz w:val="28"/>
          <w:szCs w:val="28"/>
        </w:rPr>
        <w:t>月</w:t>
      </w:r>
      <w:r>
        <w:rPr>
          <w:rFonts w:hint="eastAsia"/>
          <w:snapToGrid w:val="0"/>
          <w:kern w:val="0"/>
          <w:sz w:val="28"/>
          <w:szCs w:val="28"/>
          <w:lang w:val="en-US" w:eastAsia="zh-CN"/>
        </w:rPr>
        <w:t>15</w:t>
      </w:r>
      <w:r>
        <w:rPr>
          <w:snapToGrid w:val="0"/>
          <w:kern w:val="0"/>
          <w:sz w:val="28"/>
          <w:szCs w:val="28"/>
        </w:rPr>
        <w:t>日，</w:t>
      </w:r>
      <w:r>
        <w:rPr>
          <w:rFonts w:hint="eastAsia"/>
          <w:snapToGrid w:val="0"/>
          <w:kern w:val="0"/>
          <w:sz w:val="28"/>
          <w:szCs w:val="28"/>
          <w:lang w:eastAsia="zh-CN"/>
        </w:rPr>
        <w:t>青岛汇众纸业有限公司</w:t>
      </w:r>
      <w:r>
        <w:rPr>
          <w:snapToGrid w:val="0"/>
          <w:kern w:val="0"/>
          <w:sz w:val="28"/>
          <w:szCs w:val="28"/>
        </w:rPr>
        <w:t>根据</w:t>
      </w:r>
      <w:r>
        <w:rPr>
          <w:rFonts w:hint="eastAsia"/>
          <w:snapToGrid w:val="0"/>
          <w:kern w:val="0"/>
          <w:sz w:val="28"/>
          <w:szCs w:val="28"/>
        </w:rPr>
        <w:t>“</w:t>
      </w:r>
      <w:r>
        <w:rPr>
          <w:rFonts w:hint="eastAsia"/>
          <w:snapToGrid w:val="0"/>
          <w:kern w:val="0"/>
          <w:sz w:val="28"/>
          <w:szCs w:val="28"/>
          <w:lang w:eastAsia="zh-CN"/>
        </w:rPr>
        <w:t>果袋生产项目</w:t>
      </w:r>
      <w:r>
        <w:rPr>
          <w:rFonts w:hint="eastAsia"/>
          <w:snapToGrid w:val="0"/>
          <w:kern w:val="0"/>
          <w:sz w:val="28"/>
          <w:szCs w:val="28"/>
        </w:rPr>
        <w:t>”</w:t>
      </w:r>
      <w:r>
        <w:rPr>
          <w:snapToGrid w:val="0"/>
          <w:kern w:val="0"/>
          <w:sz w:val="28"/>
          <w:szCs w:val="28"/>
        </w:rPr>
        <w:t>竣工环境保护验收监测报告，并对照《建设项目竣工环境保护验收暂行办法》，严格依照国家有关法律法规、建设项目竣工环境保护验收技术规范/指南、本项目</w:t>
      </w:r>
      <w:r>
        <w:rPr>
          <w:snapToGrid w:val="0"/>
          <w:sz w:val="28"/>
          <w:szCs w:val="28"/>
        </w:rPr>
        <w:t>环境影响</w:t>
      </w:r>
      <w:r>
        <w:rPr>
          <w:snapToGrid w:val="0"/>
          <w:kern w:val="0"/>
          <w:sz w:val="28"/>
          <w:szCs w:val="28"/>
        </w:rPr>
        <w:t>报告</w:t>
      </w:r>
      <w:r>
        <w:rPr>
          <w:rFonts w:hint="eastAsia"/>
          <w:snapToGrid w:val="0"/>
          <w:kern w:val="0"/>
          <w:sz w:val="28"/>
          <w:szCs w:val="28"/>
        </w:rPr>
        <w:t>表</w:t>
      </w:r>
      <w:r>
        <w:rPr>
          <w:snapToGrid w:val="0"/>
          <w:kern w:val="0"/>
          <w:sz w:val="28"/>
          <w:szCs w:val="28"/>
        </w:rPr>
        <w:t>和审批部门审批决定等要求，对本项目进行验收，</w:t>
      </w:r>
      <w:r>
        <w:rPr>
          <w:rFonts w:hint="eastAsia"/>
          <w:snapToGrid w:val="0"/>
          <w:kern w:val="0"/>
          <w:sz w:val="28"/>
          <w:szCs w:val="28"/>
        </w:rPr>
        <w:t>形成</w:t>
      </w:r>
      <w:r>
        <w:rPr>
          <w:snapToGrid w:val="0"/>
          <w:kern w:val="0"/>
          <w:sz w:val="28"/>
          <w:szCs w:val="28"/>
        </w:rPr>
        <w:t>意见如下：</w:t>
      </w:r>
    </w:p>
    <w:p>
      <w:pPr>
        <w:pStyle w:val="21"/>
        <w:spacing w:after="0"/>
        <w:ind w:firstLine="786" w:firstLineChars="200"/>
        <w:jc w:val="left"/>
        <w:rPr>
          <w:b/>
          <w:bCs/>
          <w:snapToGrid w:val="0"/>
          <w:kern w:val="0"/>
          <w:sz w:val="28"/>
          <w:szCs w:val="28"/>
        </w:rPr>
      </w:pPr>
      <w:r>
        <w:rPr>
          <w:b/>
          <w:bCs/>
          <w:snapToGrid w:val="0"/>
          <w:kern w:val="0"/>
          <w:sz w:val="28"/>
          <w:szCs w:val="28"/>
        </w:rPr>
        <w:t>一、项目基本情况</w:t>
      </w:r>
    </w:p>
    <w:p>
      <w:pPr>
        <w:pStyle w:val="21"/>
        <w:spacing w:after="0"/>
        <w:ind w:firstLine="786" w:firstLineChars="200"/>
        <w:jc w:val="left"/>
        <w:rPr>
          <w:snapToGrid w:val="0"/>
          <w:sz w:val="28"/>
          <w:szCs w:val="28"/>
        </w:rPr>
      </w:pPr>
      <w:r>
        <w:rPr>
          <w:snapToGrid w:val="0"/>
          <w:sz w:val="28"/>
          <w:szCs w:val="28"/>
        </w:rPr>
        <w:t>（一）建设地点、规模、主要建设内容</w:t>
      </w:r>
    </w:p>
    <w:p>
      <w:pPr>
        <w:pStyle w:val="21"/>
        <w:spacing w:after="0"/>
        <w:ind w:firstLine="786" w:firstLineChars="200"/>
        <w:jc w:val="left"/>
        <w:rPr>
          <w:rFonts w:hint="eastAsia"/>
          <w:bCs/>
          <w:snapToGrid w:val="0"/>
          <w:kern w:val="0"/>
          <w:sz w:val="28"/>
          <w:szCs w:val="28"/>
          <w:lang w:eastAsia="zh-CN"/>
        </w:rPr>
      </w:pPr>
      <w:r>
        <w:rPr>
          <w:rFonts w:hint="eastAsia"/>
          <w:bCs/>
          <w:snapToGrid w:val="0"/>
          <w:kern w:val="0"/>
          <w:sz w:val="28"/>
          <w:szCs w:val="28"/>
          <w:lang w:eastAsia="zh-CN"/>
        </w:rPr>
        <w:t>青岛汇众纸业有限公司果袋生产项目位于平度市李园街道办事处华星路东侧，租赁青岛宇宙龙工艺品有限公司闲置厂房建设果袋生产项目。</w:t>
      </w:r>
    </w:p>
    <w:p>
      <w:pPr>
        <w:pStyle w:val="21"/>
        <w:spacing w:after="0"/>
        <w:ind w:firstLine="786" w:firstLineChars="200"/>
        <w:jc w:val="left"/>
        <w:rPr>
          <w:rFonts w:hint="eastAsia"/>
          <w:bCs/>
          <w:snapToGrid w:val="0"/>
          <w:kern w:val="0"/>
          <w:sz w:val="28"/>
          <w:szCs w:val="28"/>
          <w:lang w:eastAsia="zh-CN"/>
        </w:rPr>
      </w:pPr>
      <w:r>
        <w:rPr>
          <w:rFonts w:hint="eastAsia"/>
          <w:bCs/>
          <w:snapToGrid w:val="0"/>
          <w:kern w:val="0"/>
          <w:sz w:val="28"/>
          <w:szCs w:val="28"/>
          <w:lang w:eastAsia="zh-CN"/>
        </w:rPr>
        <w:t>企业总投资100万元，主要包括车间1座、仓库1座，购置8台果袋机、1台空压机，项目劳动定员共计6人一班制，每天工作8小时，年工作时间约300天，年产果袋5000万个。</w:t>
      </w:r>
    </w:p>
    <w:p>
      <w:pPr>
        <w:pStyle w:val="21"/>
        <w:spacing w:after="0"/>
        <w:ind w:firstLine="786" w:firstLineChars="200"/>
        <w:jc w:val="left"/>
        <w:rPr>
          <w:snapToGrid w:val="0"/>
          <w:sz w:val="28"/>
          <w:szCs w:val="28"/>
        </w:rPr>
      </w:pPr>
      <w:r>
        <w:rPr>
          <w:snapToGrid w:val="0"/>
          <w:sz w:val="28"/>
          <w:szCs w:val="28"/>
        </w:rPr>
        <w:t>（二）建设</w:t>
      </w:r>
      <w:r>
        <w:rPr>
          <w:snapToGrid w:val="0"/>
          <w:kern w:val="0"/>
          <w:sz w:val="28"/>
          <w:szCs w:val="28"/>
        </w:rPr>
        <w:t>过程</w:t>
      </w:r>
      <w:r>
        <w:rPr>
          <w:snapToGrid w:val="0"/>
          <w:sz w:val="28"/>
          <w:szCs w:val="28"/>
        </w:rPr>
        <w:t>及</w:t>
      </w:r>
      <w:r>
        <w:rPr>
          <w:snapToGrid w:val="0"/>
          <w:kern w:val="0"/>
          <w:sz w:val="28"/>
          <w:szCs w:val="28"/>
        </w:rPr>
        <w:t>环保</w:t>
      </w:r>
      <w:r>
        <w:rPr>
          <w:snapToGrid w:val="0"/>
          <w:sz w:val="28"/>
          <w:szCs w:val="28"/>
        </w:rPr>
        <w:t>审批情况</w:t>
      </w:r>
    </w:p>
    <w:p>
      <w:pPr>
        <w:pStyle w:val="21"/>
        <w:spacing w:after="0"/>
        <w:ind w:firstLine="786" w:firstLineChars="200"/>
        <w:jc w:val="left"/>
        <w:rPr>
          <w:rFonts w:hint="eastAsia"/>
          <w:snapToGrid w:val="0"/>
          <w:kern w:val="0"/>
          <w:sz w:val="28"/>
          <w:szCs w:val="28"/>
        </w:rPr>
      </w:pPr>
      <w:r>
        <w:rPr>
          <w:rFonts w:hint="eastAsia"/>
          <w:snapToGrid w:val="0"/>
          <w:kern w:val="0"/>
          <w:sz w:val="28"/>
          <w:szCs w:val="28"/>
        </w:rPr>
        <w:t>2019年9月，受企业委托，重庆九天环境影响评价有限公司对项目进行了环境影响评价，编制完成了《青岛汇众纸业有限公司果袋生产项目环境影响报告表》。</w:t>
      </w:r>
    </w:p>
    <w:p>
      <w:pPr>
        <w:pStyle w:val="21"/>
        <w:spacing w:after="0"/>
        <w:ind w:firstLine="786" w:firstLineChars="200"/>
        <w:jc w:val="left"/>
        <w:rPr>
          <w:rFonts w:hint="eastAsia"/>
          <w:snapToGrid w:val="0"/>
          <w:kern w:val="0"/>
          <w:sz w:val="28"/>
          <w:szCs w:val="28"/>
        </w:rPr>
      </w:pPr>
      <w:r>
        <w:rPr>
          <w:rFonts w:hint="eastAsia"/>
          <w:snapToGrid w:val="0"/>
          <w:kern w:val="0"/>
          <w:sz w:val="28"/>
          <w:szCs w:val="28"/>
        </w:rPr>
        <w:t>2019年11月6日，青岛市生态环境局平度分局以平环审﹝2019﹞283号文件对项目环境影响报告表进行了批复。</w:t>
      </w:r>
    </w:p>
    <w:p>
      <w:pPr>
        <w:pStyle w:val="21"/>
        <w:spacing w:after="0"/>
        <w:ind w:firstLine="786" w:firstLineChars="200"/>
        <w:jc w:val="left"/>
        <w:rPr>
          <w:rFonts w:hint="eastAsia"/>
          <w:snapToGrid w:val="0"/>
          <w:kern w:val="0"/>
          <w:sz w:val="28"/>
          <w:szCs w:val="28"/>
        </w:rPr>
      </w:pPr>
      <w:r>
        <w:rPr>
          <w:rFonts w:hint="eastAsia"/>
          <w:snapToGrid w:val="0"/>
          <w:kern w:val="0"/>
          <w:sz w:val="28"/>
          <w:szCs w:val="28"/>
        </w:rPr>
        <w:t>项目于2019年11月开工建设，2019年12月建设完成。</w:t>
      </w:r>
    </w:p>
    <w:p>
      <w:pPr>
        <w:pStyle w:val="21"/>
        <w:spacing w:after="0"/>
        <w:ind w:firstLine="786" w:firstLineChars="200"/>
        <w:jc w:val="left"/>
        <w:rPr>
          <w:snapToGrid w:val="0"/>
          <w:sz w:val="28"/>
          <w:szCs w:val="28"/>
        </w:rPr>
      </w:pPr>
      <w:r>
        <w:rPr>
          <w:snapToGrid w:val="0"/>
          <w:sz w:val="28"/>
          <w:szCs w:val="28"/>
        </w:rPr>
        <w:t>（三）投资情况</w:t>
      </w:r>
    </w:p>
    <w:p>
      <w:pPr>
        <w:pStyle w:val="21"/>
        <w:spacing w:after="0"/>
        <w:ind w:firstLine="786" w:firstLineChars="200"/>
        <w:jc w:val="left"/>
        <w:rPr>
          <w:rFonts w:hint="eastAsia"/>
          <w:snapToGrid w:val="0"/>
          <w:sz w:val="28"/>
          <w:szCs w:val="28"/>
        </w:rPr>
      </w:pPr>
      <w:r>
        <w:rPr>
          <w:rFonts w:hint="eastAsia"/>
          <w:snapToGrid w:val="0"/>
          <w:sz w:val="28"/>
          <w:szCs w:val="28"/>
        </w:rPr>
        <w:t>项目总投资100万元，其中环保投资6万元，占总投资约6.0%。</w:t>
      </w:r>
    </w:p>
    <w:p>
      <w:pPr>
        <w:pStyle w:val="21"/>
        <w:spacing w:after="0"/>
        <w:ind w:firstLine="786" w:firstLineChars="200"/>
        <w:jc w:val="left"/>
        <w:rPr>
          <w:b/>
          <w:bCs/>
          <w:snapToGrid w:val="0"/>
          <w:kern w:val="0"/>
          <w:sz w:val="28"/>
          <w:szCs w:val="28"/>
        </w:rPr>
      </w:pPr>
      <w:r>
        <w:rPr>
          <w:b/>
          <w:bCs/>
          <w:snapToGrid w:val="0"/>
          <w:kern w:val="0"/>
          <w:sz w:val="28"/>
          <w:szCs w:val="28"/>
        </w:rPr>
        <w:t>二、项目变动情况</w:t>
      </w:r>
    </w:p>
    <w:p>
      <w:pPr>
        <w:pStyle w:val="21"/>
        <w:spacing w:after="0"/>
        <w:ind w:firstLine="786" w:firstLineChars="200"/>
        <w:jc w:val="left"/>
      </w:pPr>
      <w:r>
        <w:rPr>
          <w:rFonts w:hint="eastAsia"/>
          <w:snapToGrid w:val="0"/>
          <w:sz w:val="28"/>
          <w:szCs w:val="28"/>
        </w:rPr>
        <w:t>暂未编制突发环境事件应急预案</w:t>
      </w:r>
      <w:r>
        <w:rPr>
          <w:snapToGrid w:val="0"/>
          <w:sz w:val="28"/>
          <w:szCs w:val="28"/>
        </w:rPr>
        <w:t>。</w:t>
      </w:r>
    </w:p>
    <w:p>
      <w:pPr>
        <w:pStyle w:val="21"/>
        <w:spacing w:after="0"/>
        <w:ind w:firstLine="786" w:firstLineChars="200"/>
        <w:jc w:val="left"/>
        <w:rPr>
          <w:b/>
          <w:bCs/>
          <w:snapToGrid w:val="0"/>
          <w:kern w:val="0"/>
          <w:sz w:val="28"/>
          <w:szCs w:val="28"/>
        </w:rPr>
      </w:pPr>
      <w:r>
        <w:rPr>
          <w:b/>
          <w:bCs/>
          <w:snapToGrid w:val="0"/>
          <w:kern w:val="0"/>
          <w:sz w:val="28"/>
          <w:szCs w:val="28"/>
        </w:rPr>
        <w:t>三、环境保护设施建设情况</w:t>
      </w:r>
    </w:p>
    <w:p>
      <w:pPr>
        <w:pStyle w:val="21"/>
        <w:spacing w:after="0"/>
        <w:ind w:firstLine="786" w:firstLineChars="200"/>
        <w:jc w:val="left"/>
        <w:rPr>
          <w:snapToGrid w:val="0"/>
          <w:kern w:val="0"/>
          <w:sz w:val="28"/>
          <w:szCs w:val="28"/>
        </w:rPr>
      </w:pPr>
      <w:r>
        <w:rPr>
          <w:snapToGrid w:val="0"/>
          <w:kern w:val="0"/>
          <w:sz w:val="28"/>
          <w:szCs w:val="28"/>
        </w:rPr>
        <w:t>（一）</w:t>
      </w:r>
      <w:r>
        <w:rPr>
          <w:snapToGrid w:val="0"/>
          <w:sz w:val="28"/>
          <w:szCs w:val="28"/>
        </w:rPr>
        <w:t>废水</w:t>
      </w:r>
    </w:p>
    <w:p>
      <w:pPr>
        <w:pStyle w:val="21"/>
        <w:spacing w:after="0"/>
        <w:ind w:firstLine="786" w:firstLineChars="200"/>
        <w:jc w:val="left"/>
        <w:rPr>
          <w:rFonts w:hint="eastAsia"/>
          <w:snapToGrid w:val="0"/>
          <w:kern w:val="0"/>
          <w:sz w:val="28"/>
          <w:szCs w:val="28"/>
          <w:lang w:val="zh-TW"/>
        </w:rPr>
      </w:pPr>
      <w:r>
        <w:rPr>
          <w:rFonts w:hint="eastAsia"/>
          <w:snapToGrid w:val="0"/>
          <w:kern w:val="0"/>
          <w:sz w:val="28"/>
          <w:szCs w:val="28"/>
          <w:lang w:val="zh-TW"/>
        </w:rPr>
        <w:t>项目废水主要为锅炉试压排水和职工生活产生的生活污水。废水经化粪池预处理后</w:t>
      </w:r>
      <w:r>
        <w:rPr>
          <w:rFonts w:hint="eastAsia"/>
          <w:snapToGrid w:val="0"/>
          <w:kern w:val="0"/>
          <w:sz w:val="28"/>
          <w:szCs w:val="28"/>
          <w:lang w:val="en-US" w:eastAsia="zh-CN"/>
        </w:rPr>
        <w:t>排入</w:t>
      </w:r>
      <w:r>
        <w:rPr>
          <w:rFonts w:hint="eastAsia"/>
          <w:snapToGrid w:val="0"/>
          <w:kern w:val="0"/>
          <w:sz w:val="28"/>
          <w:szCs w:val="28"/>
          <w:lang w:val="zh-TW"/>
        </w:rPr>
        <w:t>市政管网。化粪池及污水管线经防渗处理，防止废水渗漏。</w:t>
      </w:r>
    </w:p>
    <w:p>
      <w:pPr>
        <w:pStyle w:val="21"/>
        <w:spacing w:after="0"/>
        <w:ind w:firstLine="786" w:firstLineChars="200"/>
        <w:jc w:val="left"/>
        <w:rPr>
          <w:snapToGrid w:val="0"/>
          <w:kern w:val="0"/>
          <w:sz w:val="28"/>
          <w:szCs w:val="28"/>
        </w:rPr>
      </w:pPr>
      <w:r>
        <w:rPr>
          <w:snapToGrid w:val="0"/>
          <w:kern w:val="0"/>
          <w:sz w:val="28"/>
          <w:szCs w:val="28"/>
        </w:rPr>
        <w:t>（二）废气</w:t>
      </w:r>
    </w:p>
    <w:p>
      <w:pPr>
        <w:pStyle w:val="21"/>
        <w:spacing w:after="0"/>
        <w:ind w:firstLine="786" w:firstLineChars="200"/>
        <w:jc w:val="left"/>
        <w:rPr>
          <w:rFonts w:hint="eastAsia" w:eastAsia="宋体"/>
          <w:snapToGrid w:val="0"/>
          <w:sz w:val="28"/>
          <w:szCs w:val="28"/>
          <w:lang w:eastAsia="zh-CN"/>
        </w:rPr>
      </w:pPr>
      <w:r>
        <w:rPr>
          <w:rFonts w:hint="eastAsia"/>
          <w:snapToGrid w:val="0"/>
          <w:sz w:val="28"/>
          <w:szCs w:val="28"/>
        </w:rPr>
        <w:t>项目新增的不覆膜生产线印刷工序产生的废气与原车间内印刷、覆膜工序产生的有机废气和臭气，分别收集，经1套“UV光氧催化+活性炭吸附装置”处理后，合并到1根高度为15米的排气筒P1排放</w:t>
      </w:r>
      <w:r>
        <w:rPr>
          <w:rFonts w:hint="eastAsia"/>
          <w:snapToGrid w:val="0"/>
          <w:sz w:val="28"/>
          <w:szCs w:val="28"/>
          <w:lang w:eastAsia="zh-CN"/>
        </w:rPr>
        <w:t>。</w:t>
      </w:r>
    </w:p>
    <w:p>
      <w:pPr>
        <w:pStyle w:val="21"/>
        <w:spacing w:after="0"/>
        <w:ind w:firstLine="786" w:firstLineChars="200"/>
        <w:jc w:val="left"/>
        <w:rPr>
          <w:snapToGrid w:val="0"/>
          <w:sz w:val="28"/>
          <w:szCs w:val="28"/>
        </w:rPr>
      </w:pPr>
      <w:r>
        <w:rPr>
          <w:snapToGrid w:val="0"/>
          <w:sz w:val="28"/>
          <w:szCs w:val="28"/>
        </w:rPr>
        <w:t>（三）</w:t>
      </w:r>
      <w:r>
        <w:rPr>
          <w:snapToGrid w:val="0"/>
          <w:kern w:val="0"/>
          <w:sz w:val="28"/>
          <w:szCs w:val="28"/>
        </w:rPr>
        <w:t>噪声</w:t>
      </w:r>
    </w:p>
    <w:p>
      <w:pPr>
        <w:pStyle w:val="21"/>
        <w:spacing w:after="0"/>
        <w:ind w:firstLine="786" w:firstLineChars="200"/>
        <w:jc w:val="left"/>
        <w:rPr>
          <w:rFonts w:hint="eastAsia"/>
          <w:snapToGrid w:val="0"/>
          <w:sz w:val="28"/>
          <w:szCs w:val="28"/>
        </w:rPr>
      </w:pPr>
      <w:r>
        <w:rPr>
          <w:rFonts w:hint="eastAsia"/>
          <w:snapToGrid w:val="0"/>
          <w:sz w:val="28"/>
          <w:szCs w:val="28"/>
        </w:rPr>
        <w:t>项目营运期噪声主要是新增印刷机等机械设备运行产生的噪声。企业通过选用低噪声设备，合理布局，采取减振、消音、隔声等措施降低噪声的影响。</w:t>
      </w:r>
    </w:p>
    <w:p>
      <w:pPr>
        <w:pStyle w:val="21"/>
        <w:spacing w:after="0"/>
        <w:ind w:firstLine="786" w:firstLineChars="200"/>
        <w:jc w:val="left"/>
        <w:rPr>
          <w:snapToGrid w:val="0"/>
          <w:kern w:val="0"/>
          <w:sz w:val="28"/>
          <w:szCs w:val="28"/>
        </w:rPr>
      </w:pPr>
      <w:r>
        <w:rPr>
          <w:snapToGrid w:val="0"/>
          <w:kern w:val="0"/>
          <w:sz w:val="28"/>
          <w:szCs w:val="28"/>
        </w:rPr>
        <w:t>（四）固废</w:t>
      </w:r>
    </w:p>
    <w:p>
      <w:pPr>
        <w:pStyle w:val="21"/>
        <w:spacing w:after="0"/>
        <w:ind w:firstLine="786" w:firstLineChars="200"/>
        <w:jc w:val="left"/>
        <w:rPr>
          <w:rFonts w:hint="eastAsia"/>
          <w:snapToGrid w:val="0"/>
          <w:kern w:val="0"/>
          <w:sz w:val="28"/>
          <w:szCs w:val="28"/>
        </w:rPr>
      </w:pPr>
      <w:r>
        <w:rPr>
          <w:rFonts w:hint="eastAsia"/>
          <w:snapToGrid w:val="0"/>
          <w:kern w:val="0"/>
          <w:sz w:val="28"/>
          <w:szCs w:val="28"/>
        </w:rPr>
        <w:t>项目新增一般固体废物主要是：废边角料、废包装材料、废洗车水、废油墨（含稀释剂）、废油墨桶以及废活性炭；</w:t>
      </w:r>
    </w:p>
    <w:p>
      <w:pPr>
        <w:pStyle w:val="21"/>
        <w:spacing w:after="0"/>
        <w:ind w:firstLine="786" w:firstLineChars="200"/>
        <w:jc w:val="left"/>
        <w:rPr>
          <w:rFonts w:hint="eastAsia"/>
          <w:snapToGrid w:val="0"/>
          <w:kern w:val="0"/>
          <w:sz w:val="28"/>
          <w:szCs w:val="28"/>
        </w:rPr>
      </w:pPr>
      <w:r>
        <w:rPr>
          <w:rFonts w:hint="eastAsia"/>
          <w:snapToGrid w:val="0"/>
          <w:kern w:val="0"/>
          <w:sz w:val="28"/>
          <w:szCs w:val="28"/>
        </w:rPr>
        <w:t>新增危险废物主要是：废油墨（含稀释剂）、废油墨桶、废洗车水、废活性炭。均暂存于原有项目危废暂存间，定期委托有资质单位进行处置；</w:t>
      </w:r>
    </w:p>
    <w:p>
      <w:pPr>
        <w:pStyle w:val="21"/>
        <w:spacing w:after="0"/>
        <w:ind w:firstLine="786" w:firstLineChars="200"/>
        <w:jc w:val="left"/>
        <w:rPr>
          <w:rFonts w:hint="eastAsia"/>
          <w:snapToGrid w:val="0"/>
          <w:kern w:val="0"/>
          <w:sz w:val="28"/>
          <w:szCs w:val="28"/>
        </w:rPr>
      </w:pPr>
      <w:r>
        <w:rPr>
          <w:rFonts w:hint="eastAsia"/>
          <w:snapToGrid w:val="0"/>
          <w:kern w:val="0"/>
          <w:sz w:val="28"/>
          <w:szCs w:val="28"/>
        </w:rPr>
        <w:t>扩建项目无新增职工，无新增生活垃圾。</w:t>
      </w:r>
    </w:p>
    <w:p>
      <w:pPr>
        <w:pStyle w:val="21"/>
        <w:spacing w:after="0"/>
        <w:ind w:firstLine="786" w:firstLineChars="200"/>
        <w:jc w:val="left"/>
        <w:rPr>
          <w:b/>
          <w:bCs/>
          <w:snapToGrid w:val="0"/>
          <w:kern w:val="0"/>
          <w:sz w:val="28"/>
          <w:szCs w:val="28"/>
        </w:rPr>
      </w:pPr>
      <w:r>
        <w:rPr>
          <w:b/>
          <w:bCs/>
          <w:snapToGrid w:val="0"/>
          <w:kern w:val="0"/>
          <w:sz w:val="28"/>
          <w:szCs w:val="28"/>
        </w:rPr>
        <w:t>四、环保措施调试效果</w:t>
      </w:r>
    </w:p>
    <w:p>
      <w:pPr>
        <w:pStyle w:val="21"/>
        <w:spacing w:after="0"/>
        <w:ind w:firstLine="786" w:firstLineChars="200"/>
        <w:jc w:val="left"/>
        <w:rPr>
          <w:snapToGrid w:val="0"/>
          <w:kern w:val="0"/>
          <w:sz w:val="28"/>
          <w:szCs w:val="28"/>
        </w:rPr>
      </w:pPr>
      <w:r>
        <w:rPr>
          <w:rFonts w:hint="eastAsia"/>
          <w:snapToGrid w:val="0"/>
          <w:kern w:val="0"/>
          <w:sz w:val="28"/>
          <w:szCs w:val="28"/>
          <w:lang w:eastAsia="zh-CN"/>
        </w:rPr>
        <w:t>青岛汇众纸业有限公司</w:t>
      </w:r>
      <w:r>
        <w:rPr>
          <w:snapToGrid w:val="0"/>
          <w:kern w:val="0"/>
          <w:sz w:val="28"/>
          <w:szCs w:val="28"/>
        </w:rPr>
        <w:t>验收监测报告表明，</w:t>
      </w:r>
      <w:r>
        <w:rPr>
          <w:snapToGrid w:val="0"/>
          <w:sz w:val="28"/>
          <w:szCs w:val="28"/>
        </w:rPr>
        <w:t>验收监测期间：</w:t>
      </w:r>
    </w:p>
    <w:p>
      <w:pPr>
        <w:pStyle w:val="21"/>
        <w:spacing w:after="0"/>
        <w:ind w:firstLine="786" w:firstLineChars="200"/>
        <w:jc w:val="left"/>
        <w:rPr>
          <w:sz w:val="28"/>
          <w:szCs w:val="28"/>
        </w:rPr>
      </w:pPr>
      <w:r>
        <w:rPr>
          <w:sz w:val="28"/>
          <w:szCs w:val="28"/>
        </w:rPr>
        <w:t>1、</w:t>
      </w:r>
      <w:r>
        <w:rPr>
          <w:snapToGrid w:val="0"/>
          <w:kern w:val="0"/>
          <w:sz w:val="28"/>
          <w:szCs w:val="28"/>
        </w:rPr>
        <w:t>废气</w:t>
      </w:r>
    </w:p>
    <w:p>
      <w:pPr>
        <w:pStyle w:val="21"/>
        <w:spacing w:after="0"/>
        <w:ind w:firstLine="786" w:firstLineChars="200"/>
        <w:jc w:val="left"/>
        <w:rPr>
          <w:rFonts w:hint="eastAsia"/>
          <w:snapToGrid w:val="0"/>
          <w:sz w:val="28"/>
          <w:szCs w:val="28"/>
        </w:rPr>
      </w:pPr>
      <w:r>
        <w:rPr>
          <w:snapToGrid w:val="0"/>
          <w:sz w:val="28"/>
          <w:szCs w:val="28"/>
        </w:rPr>
        <w:t>验收监测期间</w:t>
      </w:r>
      <w:r>
        <w:rPr>
          <w:rFonts w:hint="eastAsia"/>
          <w:snapToGrid w:val="0"/>
          <w:sz w:val="28"/>
          <w:szCs w:val="28"/>
        </w:rPr>
        <w:t>，车间废气排气筒P1VOCs排放浓度和排放速率满足《挥发性有机物排放标准第4部分：印刷业》（DB 37/ 2801.4-2017）表2印刷生产活动排气筒挥发性有机物排放限值要求；臭气浓度满足《恶臭污染物排放标准》（GB14554-93）表2恶臭污染物排放标准值要求；</w:t>
      </w:r>
    </w:p>
    <w:p>
      <w:pPr>
        <w:pStyle w:val="21"/>
        <w:spacing w:after="0"/>
        <w:ind w:firstLine="786" w:firstLineChars="200"/>
        <w:jc w:val="left"/>
        <w:rPr>
          <w:rFonts w:hint="eastAsia"/>
          <w:snapToGrid w:val="0"/>
          <w:sz w:val="28"/>
          <w:szCs w:val="28"/>
        </w:rPr>
      </w:pPr>
      <w:r>
        <w:rPr>
          <w:rFonts w:hint="eastAsia"/>
          <w:snapToGrid w:val="0"/>
          <w:sz w:val="28"/>
          <w:szCs w:val="28"/>
        </w:rPr>
        <w:t>无组织排放废气厂界监控点VOCs满足《挥发性有机物排放标准第4部分：印刷业》（DB 37/ 2801.4-2017）表3厂界无组织监控点挥发性有机物浓度限值；臭气浓度（无量纲）执行《恶臭污染物排放标准》(GB14554-93)表1中二级新改扩建标准要求。</w:t>
      </w:r>
    </w:p>
    <w:p>
      <w:pPr>
        <w:pStyle w:val="21"/>
        <w:spacing w:after="0"/>
        <w:ind w:firstLine="786" w:firstLineChars="200"/>
        <w:jc w:val="left"/>
        <w:rPr>
          <w:sz w:val="28"/>
          <w:szCs w:val="28"/>
        </w:rPr>
      </w:pPr>
      <w:r>
        <w:rPr>
          <w:sz w:val="28"/>
          <w:szCs w:val="28"/>
        </w:rPr>
        <w:t>2、</w:t>
      </w:r>
      <w:r>
        <w:rPr>
          <w:snapToGrid w:val="0"/>
          <w:sz w:val="28"/>
          <w:szCs w:val="28"/>
        </w:rPr>
        <w:t>噪声</w:t>
      </w:r>
    </w:p>
    <w:p>
      <w:pPr>
        <w:pStyle w:val="21"/>
        <w:spacing w:after="0"/>
        <w:ind w:firstLine="786" w:firstLineChars="200"/>
        <w:jc w:val="left"/>
        <w:rPr>
          <w:snapToGrid w:val="0"/>
          <w:sz w:val="28"/>
          <w:szCs w:val="28"/>
        </w:rPr>
      </w:pPr>
      <w:r>
        <w:rPr>
          <w:snapToGrid w:val="0"/>
          <w:sz w:val="28"/>
          <w:szCs w:val="28"/>
        </w:rPr>
        <w:t>验收监测</w:t>
      </w:r>
      <w:r>
        <w:rPr>
          <w:snapToGrid w:val="0"/>
          <w:kern w:val="0"/>
          <w:sz w:val="28"/>
          <w:szCs w:val="28"/>
        </w:rPr>
        <w:t>期间</w:t>
      </w:r>
      <w:r>
        <w:rPr>
          <w:snapToGrid w:val="0"/>
          <w:sz w:val="28"/>
          <w:szCs w:val="28"/>
        </w:rPr>
        <w:t>，</w:t>
      </w:r>
      <w:r>
        <w:rPr>
          <w:rFonts w:hint="eastAsia"/>
          <w:snapToGrid w:val="0"/>
          <w:sz w:val="28"/>
          <w:szCs w:val="28"/>
          <w:lang w:val="zh-TW"/>
        </w:rPr>
        <w:t>厂界四周昼夜</w:t>
      </w:r>
      <w:r>
        <w:rPr>
          <w:rFonts w:hint="eastAsia"/>
          <w:snapToGrid w:val="0"/>
          <w:kern w:val="0"/>
          <w:sz w:val="28"/>
          <w:szCs w:val="28"/>
        </w:rPr>
        <w:t>噪声满足《工业企业厂界环境噪声排放标准》</w:t>
      </w:r>
      <w:r>
        <w:rPr>
          <w:rFonts w:hint="eastAsia"/>
          <w:snapToGrid w:val="0"/>
          <w:sz w:val="28"/>
          <w:szCs w:val="28"/>
          <w:lang w:val="zh-TW"/>
        </w:rPr>
        <w:t>（GB12348-2008）表1中</w:t>
      </w:r>
      <w:r>
        <w:rPr>
          <w:rFonts w:hint="eastAsia"/>
          <w:snapToGrid w:val="0"/>
          <w:sz w:val="28"/>
          <w:szCs w:val="28"/>
          <w:lang w:val="en-US" w:eastAsia="zh-CN"/>
        </w:rPr>
        <w:t>1</w:t>
      </w:r>
      <w:r>
        <w:rPr>
          <w:rFonts w:hint="eastAsia"/>
          <w:snapToGrid w:val="0"/>
          <w:sz w:val="28"/>
          <w:szCs w:val="28"/>
          <w:lang w:val="zh-TW"/>
        </w:rPr>
        <w:t>类声环境功能区标准要求。</w:t>
      </w:r>
    </w:p>
    <w:p>
      <w:pPr>
        <w:pStyle w:val="21"/>
        <w:spacing w:after="0"/>
        <w:ind w:firstLine="786" w:firstLineChars="200"/>
        <w:jc w:val="left"/>
        <w:rPr>
          <w:b/>
          <w:bCs/>
          <w:snapToGrid w:val="0"/>
          <w:kern w:val="0"/>
          <w:sz w:val="28"/>
          <w:szCs w:val="28"/>
        </w:rPr>
      </w:pPr>
      <w:r>
        <w:rPr>
          <w:b/>
          <w:bCs/>
          <w:snapToGrid w:val="0"/>
          <w:kern w:val="0"/>
          <w:sz w:val="28"/>
          <w:szCs w:val="28"/>
        </w:rPr>
        <w:t>五、验收结论</w:t>
      </w:r>
    </w:p>
    <w:p>
      <w:pPr>
        <w:pStyle w:val="21"/>
        <w:spacing w:after="0"/>
        <w:ind w:firstLine="786" w:firstLineChars="200"/>
        <w:jc w:val="left"/>
        <w:rPr>
          <w:snapToGrid w:val="0"/>
          <w:sz w:val="28"/>
          <w:szCs w:val="28"/>
        </w:rPr>
      </w:pPr>
      <w:r>
        <w:rPr>
          <w:snapToGrid w:val="0"/>
          <w:sz w:val="28"/>
          <w:szCs w:val="28"/>
        </w:rPr>
        <w:t>项目已按环评和批复要求完成</w:t>
      </w:r>
      <w:r>
        <w:rPr>
          <w:rFonts w:hint="eastAsia"/>
          <w:snapToGrid w:val="0"/>
          <w:kern w:val="0"/>
          <w:sz w:val="28"/>
          <w:szCs w:val="28"/>
        </w:rPr>
        <w:t>“</w:t>
      </w:r>
      <w:r>
        <w:rPr>
          <w:snapToGrid w:val="0"/>
          <w:kern w:val="0"/>
          <w:sz w:val="28"/>
          <w:szCs w:val="28"/>
        </w:rPr>
        <w:t>三同时</w:t>
      </w:r>
      <w:r>
        <w:rPr>
          <w:rFonts w:hint="eastAsia"/>
          <w:snapToGrid w:val="0"/>
          <w:kern w:val="0"/>
          <w:sz w:val="28"/>
          <w:szCs w:val="28"/>
        </w:rPr>
        <w:t>”</w:t>
      </w:r>
      <w:r>
        <w:rPr>
          <w:snapToGrid w:val="0"/>
          <w:sz w:val="28"/>
          <w:szCs w:val="28"/>
        </w:rPr>
        <w:t>建设，无重大变动，污染物达标排放，验收监测报告结论可信，验收合格。</w:t>
      </w:r>
    </w:p>
    <w:p>
      <w:pPr>
        <w:pStyle w:val="21"/>
        <w:spacing w:after="0"/>
        <w:ind w:firstLine="786" w:firstLineChars="200"/>
        <w:jc w:val="left"/>
        <w:rPr>
          <w:b/>
          <w:bCs/>
          <w:snapToGrid w:val="0"/>
          <w:kern w:val="0"/>
          <w:sz w:val="28"/>
          <w:szCs w:val="28"/>
        </w:rPr>
      </w:pPr>
      <w:r>
        <w:rPr>
          <w:b/>
          <w:bCs/>
          <w:snapToGrid w:val="0"/>
          <w:kern w:val="0"/>
          <w:sz w:val="28"/>
          <w:szCs w:val="28"/>
        </w:rPr>
        <w:t>六、后续要求</w:t>
      </w:r>
    </w:p>
    <w:p>
      <w:pPr>
        <w:pStyle w:val="21"/>
        <w:spacing w:after="0"/>
        <w:ind w:firstLine="786" w:firstLineChars="200"/>
        <w:jc w:val="left"/>
        <w:rPr>
          <w:snapToGrid w:val="0"/>
          <w:sz w:val="28"/>
          <w:szCs w:val="28"/>
        </w:rPr>
      </w:pPr>
      <w:r>
        <w:rPr>
          <w:rFonts w:hint="eastAsia"/>
          <w:snapToGrid w:val="0"/>
          <w:sz w:val="28"/>
          <w:szCs w:val="28"/>
        </w:rPr>
        <w:t>1、编制突发环境事件应急预案</w:t>
      </w:r>
      <w:r>
        <w:rPr>
          <w:rFonts w:hint="eastAsia"/>
          <w:snapToGrid w:val="0"/>
          <w:kern w:val="0"/>
          <w:sz w:val="28"/>
          <w:szCs w:val="28"/>
        </w:rPr>
        <w:t>，</w:t>
      </w:r>
      <w:r>
        <w:rPr>
          <w:rFonts w:hint="eastAsia"/>
          <w:snapToGrid w:val="0"/>
          <w:sz w:val="28"/>
          <w:szCs w:val="28"/>
        </w:rPr>
        <w:t>并报当地环保部门备案；</w:t>
      </w:r>
    </w:p>
    <w:p>
      <w:pPr>
        <w:pStyle w:val="21"/>
        <w:spacing w:after="0"/>
        <w:ind w:firstLine="786" w:firstLineChars="200"/>
        <w:jc w:val="left"/>
        <w:rPr>
          <w:rFonts w:hint="eastAsia"/>
          <w:snapToGrid w:val="0"/>
          <w:sz w:val="28"/>
          <w:szCs w:val="28"/>
        </w:rPr>
      </w:pPr>
      <w:r>
        <w:rPr>
          <w:rFonts w:hint="eastAsia"/>
          <w:snapToGrid w:val="0"/>
          <w:sz w:val="28"/>
          <w:szCs w:val="28"/>
        </w:rPr>
        <w:t>2、有组织废气排放口按规范要求设置</w:t>
      </w:r>
      <w:r>
        <w:rPr>
          <w:rFonts w:hint="eastAsia"/>
          <w:snapToGrid w:val="0"/>
          <w:kern w:val="0"/>
          <w:sz w:val="28"/>
          <w:szCs w:val="28"/>
        </w:rPr>
        <w:t>采样</w:t>
      </w:r>
      <w:r>
        <w:rPr>
          <w:rFonts w:hint="eastAsia"/>
          <w:snapToGrid w:val="0"/>
          <w:sz w:val="28"/>
          <w:szCs w:val="28"/>
        </w:rPr>
        <w:t>平台；废水排放口设置标识牌；</w:t>
      </w:r>
    </w:p>
    <w:p>
      <w:pPr>
        <w:pStyle w:val="21"/>
        <w:spacing w:after="0"/>
        <w:ind w:firstLine="786" w:firstLineChars="200"/>
        <w:jc w:val="left"/>
        <w:rPr>
          <w:snapToGrid w:val="0"/>
          <w:sz w:val="28"/>
          <w:szCs w:val="28"/>
        </w:rPr>
      </w:pPr>
      <w:r>
        <w:rPr>
          <w:rFonts w:hint="eastAsia"/>
          <w:snapToGrid w:val="0"/>
          <w:sz w:val="28"/>
          <w:szCs w:val="28"/>
        </w:rPr>
        <w:t>3</w:t>
      </w:r>
      <w:r>
        <w:rPr>
          <w:snapToGrid w:val="0"/>
          <w:sz w:val="28"/>
          <w:szCs w:val="28"/>
        </w:rPr>
        <w:t>、按照</w:t>
      </w:r>
      <w:r>
        <w:rPr>
          <w:snapToGrid w:val="0"/>
          <w:kern w:val="0"/>
          <w:sz w:val="28"/>
          <w:szCs w:val="28"/>
        </w:rPr>
        <w:t>《排污单位自行监测技术指南-总则》</w:t>
      </w:r>
      <w:r>
        <w:rPr>
          <w:snapToGrid w:val="0"/>
          <w:sz w:val="28"/>
          <w:szCs w:val="28"/>
        </w:rPr>
        <w:t>(HJ819-2017)要求，自主组织进行污染源监测，并</w:t>
      </w:r>
      <w:r>
        <w:rPr>
          <w:snapToGrid w:val="0"/>
          <w:kern w:val="0"/>
          <w:sz w:val="28"/>
          <w:szCs w:val="28"/>
        </w:rPr>
        <w:t>做好</w:t>
      </w:r>
      <w:r>
        <w:rPr>
          <w:snapToGrid w:val="0"/>
          <w:sz w:val="28"/>
          <w:szCs w:val="28"/>
        </w:rPr>
        <w:t>记录。</w:t>
      </w:r>
    </w:p>
    <w:p>
      <w:pPr>
        <w:pStyle w:val="21"/>
        <w:spacing w:after="0"/>
        <w:ind w:firstLine="786" w:firstLineChars="200"/>
        <w:jc w:val="left"/>
        <w:rPr>
          <w:b/>
          <w:bCs/>
          <w:snapToGrid w:val="0"/>
          <w:kern w:val="0"/>
          <w:sz w:val="28"/>
          <w:szCs w:val="28"/>
        </w:rPr>
      </w:pPr>
      <w:r>
        <w:rPr>
          <w:rFonts w:hint="eastAsia"/>
          <w:b/>
          <w:bCs/>
          <w:snapToGrid w:val="0"/>
          <w:kern w:val="0"/>
          <w:sz w:val="28"/>
          <w:szCs w:val="28"/>
        </w:rPr>
        <w:t>七、验收意见</w:t>
      </w:r>
    </w:p>
    <w:tbl>
      <w:tblPr>
        <w:tblStyle w:val="22"/>
        <w:tblW w:w="0" w:type="auto"/>
        <w:jc w:val="center"/>
        <w:tblLayout w:type="fixed"/>
        <w:tblCellMar>
          <w:top w:w="0" w:type="dxa"/>
          <w:left w:w="51" w:type="dxa"/>
          <w:bottom w:w="0" w:type="dxa"/>
          <w:right w:w="51" w:type="dxa"/>
        </w:tblCellMar>
      </w:tblPr>
      <w:tblGrid>
        <w:gridCol w:w="605"/>
        <w:gridCol w:w="1155"/>
        <w:gridCol w:w="894"/>
        <w:gridCol w:w="3490"/>
        <w:gridCol w:w="1276"/>
        <w:gridCol w:w="2139"/>
      </w:tblGrid>
      <w:tr>
        <w:tblPrEx>
          <w:tblCellMar>
            <w:top w:w="0" w:type="dxa"/>
            <w:left w:w="51" w:type="dxa"/>
            <w:bottom w:w="0" w:type="dxa"/>
            <w:right w:w="51" w:type="dxa"/>
          </w:tblCellMar>
        </w:tblPrEx>
        <w:trPr>
          <w:trHeight w:val="794" w:hRule="atLeast"/>
          <w:jc w:val="center"/>
        </w:trPr>
        <w:tc>
          <w:tcPr>
            <w:tcW w:w="1760"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szCs w:val="24"/>
              </w:rPr>
            </w:pPr>
            <w:r>
              <w:rPr>
                <w:b/>
                <w:bCs/>
                <w:snapToGrid w:val="0"/>
                <w:color w:val="000000"/>
                <w:kern w:val="0"/>
                <w:sz w:val="24"/>
                <w:szCs w:val="24"/>
                <w:lang w:bidi="he-IL"/>
              </w:rPr>
              <w:t>验收组</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jc w:val="center"/>
              <w:rPr>
                <w:szCs w:val="24"/>
              </w:rPr>
            </w:pPr>
            <w:r>
              <w:rPr>
                <w:b/>
                <w:bCs/>
                <w:snapToGrid w:val="0"/>
                <w:color w:val="000000"/>
                <w:kern w:val="0"/>
                <w:sz w:val="24"/>
                <w:szCs w:val="24"/>
                <w:lang w:bidi="he-IL"/>
              </w:rPr>
              <w:t>姓  名</w:t>
            </w:r>
          </w:p>
        </w:tc>
        <w:tc>
          <w:tcPr>
            <w:tcW w:w="3490" w:type="dxa"/>
            <w:tcBorders>
              <w:top w:val="single" w:color="auto" w:sz="4" w:space="0"/>
              <w:left w:val="single" w:color="auto" w:sz="4" w:space="0"/>
              <w:bottom w:val="single" w:color="auto" w:sz="4" w:space="0"/>
              <w:right w:val="single" w:color="auto" w:sz="4" w:space="0"/>
            </w:tcBorders>
            <w:vAlign w:val="center"/>
          </w:tcPr>
          <w:p>
            <w:pPr>
              <w:snapToGrid w:val="0"/>
              <w:jc w:val="center"/>
              <w:rPr>
                <w:szCs w:val="24"/>
              </w:rPr>
            </w:pPr>
            <w:r>
              <w:rPr>
                <w:b/>
                <w:bCs/>
                <w:snapToGrid w:val="0"/>
                <w:color w:val="000000"/>
                <w:kern w:val="0"/>
                <w:sz w:val="24"/>
                <w:szCs w:val="24"/>
                <w:lang w:bidi="he-IL"/>
              </w:rPr>
              <w:t>单      位</w:t>
            </w:r>
          </w:p>
        </w:tc>
        <w:tc>
          <w:tcPr>
            <w:tcW w:w="1276" w:type="dxa"/>
            <w:tcBorders>
              <w:top w:val="single" w:color="auto" w:sz="4" w:space="0"/>
              <w:left w:val="single" w:color="auto" w:sz="4" w:space="0"/>
              <w:bottom w:val="single" w:color="auto" w:sz="4" w:space="0"/>
              <w:right w:val="single" w:color="auto" w:sz="4" w:space="0"/>
            </w:tcBorders>
            <w:vAlign w:val="center"/>
          </w:tcPr>
          <w:p>
            <w:pPr>
              <w:snapToGrid w:val="0"/>
              <w:jc w:val="center"/>
              <w:rPr>
                <w:szCs w:val="24"/>
              </w:rPr>
            </w:pPr>
            <w:r>
              <w:rPr>
                <w:b/>
                <w:bCs/>
                <w:snapToGrid w:val="0"/>
                <w:color w:val="000000"/>
                <w:kern w:val="0"/>
                <w:sz w:val="24"/>
                <w:szCs w:val="24"/>
                <w:lang w:bidi="he-IL"/>
              </w:rPr>
              <w:t>职务/</w:t>
            </w:r>
          </w:p>
          <w:p>
            <w:pPr>
              <w:snapToGrid w:val="0"/>
              <w:jc w:val="center"/>
              <w:rPr>
                <w:szCs w:val="24"/>
              </w:rPr>
            </w:pPr>
            <w:r>
              <w:rPr>
                <w:b/>
                <w:bCs/>
                <w:snapToGrid w:val="0"/>
                <w:color w:val="000000"/>
                <w:kern w:val="0"/>
                <w:sz w:val="24"/>
                <w:szCs w:val="24"/>
                <w:lang w:bidi="he-IL"/>
              </w:rPr>
              <w:t>职称</w:t>
            </w:r>
          </w:p>
        </w:tc>
        <w:tc>
          <w:tcPr>
            <w:tcW w:w="2139" w:type="dxa"/>
            <w:tcBorders>
              <w:top w:val="single" w:color="auto" w:sz="4" w:space="0"/>
              <w:left w:val="single" w:color="auto" w:sz="4" w:space="0"/>
              <w:bottom w:val="single" w:color="auto" w:sz="4" w:space="0"/>
              <w:right w:val="single" w:color="auto" w:sz="4" w:space="0"/>
            </w:tcBorders>
            <w:vAlign w:val="center"/>
          </w:tcPr>
          <w:p>
            <w:pPr>
              <w:snapToGrid w:val="0"/>
              <w:jc w:val="center"/>
              <w:rPr>
                <w:szCs w:val="24"/>
              </w:rPr>
            </w:pPr>
            <w:r>
              <w:rPr>
                <w:b/>
                <w:bCs/>
                <w:snapToGrid w:val="0"/>
                <w:color w:val="000000"/>
                <w:kern w:val="0"/>
                <w:sz w:val="24"/>
                <w:szCs w:val="24"/>
                <w:lang w:bidi="he-IL"/>
              </w:rPr>
              <w:t>签  名</w:t>
            </w:r>
          </w:p>
        </w:tc>
      </w:tr>
      <w:tr>
        <w:tblPrEx>
          <w:tblCellMar>
            <w:top w:w="0" w:type="dxa"/>
            <w:left w:w="51" w:type="dxa"/>
            <w:bottom w:w="0" w:type="dxa"/>
            <w:right w:w="51" w:type="dxa"/>
          </w:tblCellMar>
        </w:tblPrEx>
        <w:trPr>
          <w:trHeight w:val="794" w:hRule="atLeast"/>
          <w:jc w:val="center"/>
        </w:trPr>
        <w:tc>
          <w:tcPr>
            <w:tcW w:w="605" w:type="dxa"/>
            <w:vMerge w:val="restart"/>
            <w:tcBorders>
              <w:top w:val="single" w:color="auto" w:sz="4" w:space="0"/>
              <w:left w:val="single" w:color="auto" w:sz="4" w:space="0"/>
              <w:right w:val="single" w:color="auto" w:sz="4" w:space="0"/>
            </w:tcBorders>
            <w:vAlign w:val="center"/>
          </w:tcPr>
          <w:p>
            <w:pPr>
              <w:snapToGrid w:val="0"/>
              <w:jc w:val="center"/>
              <w:rPr>
                <w:szCs w:val="24"/>
              </w:rPr>
            </w:pPr>
            <w:r>
              <w:rPr>
                <w:snapToGrid w:val="0"/>
                <w:color w:val="000000"/>
                <w:kern w:val="0"/>
                <w:sz w:val="24"/>
                <w:szCs w:val="24"/>
                <w:lang w:bidi="he-IL"/>
              </w:rPr>
              <w:t>组长</w:t>
            </w:r>
          </w:p>
        </w:tc>
        <w:tc>
          <w:tcPr>
            <w:tcW w:w="1155" w:type="dxa"/>
            <w:vMerge w:val="restart"/>
            <w:tcBorders>
              <w:top w:val="single" w:color="auto" w:sz="4" w:space="0"/>
              <w:left w:val="single" w:color="auto" w:sz="4" w:space="0"/>
              <w:right w:val="single" w:color="auto" w:sz="4" w:space="0"/>
            </w:tcBorders>
            <w:vAlign w:val="center"/>
          </w:tcPr>
          <w:p>
            <w:pPr>
              <w:snapToGrid w:val="0"/>
              <w:jc w:val="center"/>
              <w:rPr>
                <w:szCs w:val="24"/>
              </w:rPr>
            </w:pPr>
            <w:r>
              <w:rPr>
                <w:snapToGrid w:val="0"/>
                <w:color w:val="000000"/>
                <w:kern w:val="0"/>
                <w:sz w:val="24"/>
                <w:szCs w:val="24"/>
                <w:lang w:bidi="he-IL"/>
              </w:rPr>
              <w:t>建设单位及报告编制单位</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jc w:val="center"/>
              <w:rPr>
                <w:snapToGrid w:val="0"/>
                <w:color w:val="000000"/>
                <w:kern w:val="0"/>
                <w:sz w:val="24"/>
                <w:szCs w:val="24"/>
              </w:rPr>
            </w:pPr>
            <w:r>
              <w:rPr>
                <w:rFonts w:hint="eastAsia"/>
                <w:snapToGrid w:val="0"/>
                <w:color w:val="000000"/>
                <w:kern w:val="0"/>
                <w:sz w:val="24"/>
                <w:szCs w:val="24"/>
              </w:rPr>
              <w:t>李</w:t>
            </w:r>
            <w:r>
              <w:rPr>
                <w:rFonts w:hint="eastAsia"/>
                <w:snapToGrid w:val="0"/>
                <w:color w:val="000000"/>
                <w:kern w:val="0"/>
                <w:sz w:val="24"/>
                <w:szCs w:val="24"/>
                <w:lang w:val="en-US" w:eastAsia="zh-CN"/>
              </w:rPr>
              <w:t xml:space="preserve">  </w:t>
            </w:r>
            <w:r>
              <w:rPr>
                <w:rFonts w:hint="eastAsia"/>
                <w:snapToGrid w:val="0"/>
                <w:color w:val="000000"/>
                <w:kern w:val="0"/>
                <w:sz w:val="24"/>
                <w:szCs w:val="24"/>
              </w:rPr>
              <w:t>杰</w:t>
            </w:r>
          </w:p>
        </w:tc>
        <w:tc>
          <w:tcPr>
            <w:tcW w:w="3490"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eastAsia="宋体"/>
                <w:snapToGrid w:val="0"/>
                <w:color w:val="000000"/>
                <w:kern w:val="0"/>
                <w:sz w:val="24"/>
                <w:szCs w:val="24"/>
                <w:lang w:eastAsia="zh-CN"/>
              </w:rPr>
            </w:pPr>
            <w:r>
              <w:rPr>
                <w:rFonts w:hint="eastAsia"/>
                <w:snapToGrid w:val="0"/>
                <w:color w:val="000000"/>
                <w:kern w:val="0"/>
                <w:sz w:val="24"/>
                <w:szCs w:val="24"/>
                <w:lang w:eastAsia="zh-CN"/>
              </w:rPr>
              <w:t>青岛汇众纸业有限公司</w:t>
            </w:r>
          </w:p>
        </w:tc>
        <w:tc>
          <w:tcPr>
            <w:tcW w:w="12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eastAsia="宋体"/>
                <w:snapToGrid w:val="0"/>
                <w:color w:val="000000"/>
                <w:kern w:val="0"/>
                <w:sz w:val="24"/>
                <w:szCs w:val="24"/>
                <w:lang w:eastAsia="zh-CN"/>
              </w:rPr>
            </w:pPr>
            <w:r>
              <w:rPr>
                <w:rFonts w:hint="eastAsia"/>
                <w:snapToGrid w:val="0"/>
                <w:color w:val="000000"/>
                <w:kern w:val="0"/>
                <w:sz w:val="24"/>
                <w:szCs w:val="24"/>
                <w:lang w:val="en-US" w:eastAsia="zh-CN"/>
              </w:rPr>
              <w:t>法人代表</w:t>
            </w:r>
          </w:p>
        </w:tc>
        <w:tc>
          <w:tcPr>
            <w:tcW w:w="2139" w:type="dxa"/>
            <w:tcBorders>
              <w:top w:val="single" w:color="auto" w:sz="4" w:space="0"/>
              <w:left w:val="single" w:color="auto" w:sz="4" w:space="0"/>
              <w:bottom w:val="single" w:color="auto" w:sz="4" w:space="0"/>
              <w:right w:val="single" w:color="auto" w:sz="4" w:space="0"/>
            </w:tcBorders>
            <w:vAlign w:val="center"/>
          </w:tcPr>
          <w:p>
            <w:pPr>
              <w:snapToGrid w:val="0"/>
              <w:jc w:val="center"/>
              <w:rPr>
                <w:szCs w:val="24"/>
              </w:rPr>
            </w:pPr>
          </w:p>
        </w:tc>
      </w:tr>
      <w:tr>
        <w:tblPrEx>
          <w:tblCellMar>
            <w:top w:w="0" w:type="dxa"/>
            <w:left w:w="51" w:type="dxa"/>
            <w:bottom w:w="0" w:type="dxa"/>
            <w:right w:w="51" w:type="dxa"/>
          </w:tblCellMar>
        </w:tblPrEx>
        <w:trPr>
          <w:trHeight w:val="794" w:hRule="atLeast"/>
          <w:jc w:val="center"/>
        </w:trPr>
        <w:tc>
          <w:tcPr>
            <w:tcW w:w="605" w:type="dxa"/>
            <w:vMerge w:val="continue"/>
            <w:tcBorders>
              <w:left w:val="single" w:color="auto" w:sz="4" w:space="0"/>
              <w:bottom w:val="single" w:color="auto" w:sz="4" w:space="0"/>
              <w:right w:val="single" w:color="auto" w:sz="4" w:space="0"/>
            </w:tcBorders>
            <w:vAlign w:val="center"/>
          </w:tcPr>
          <w:p>
            <w:pPr>
              <w:snapToGrid w:val="0"/>
              <w:jc w:val="center"/>
              <w:rPr>
                <w:snapToGrid w:val="0"/>
                <w:color w:val="000000"/>
                <w:kern w:val="0"/>
                <w:sz w:val="24"/>
                <w:szCs w:val="24"/>
                <w:lang w:bidi="he-IL"/>
              </w:rPr>
            </w:pPr>
          </w:p>
        </w:tc>
        <w:tc>
          <w:tcPr>
            <w:tcW w:w="1155" w:type="dxa"/>
            <w:vMerge w:val="continue"/>
            <w:tcBorders>
              <w:left w:val="single" w:color="auto" w:sz="4" w:space="0"/>
              <w:bottom w:val="single" w:color="auto" w:sz="4" w:space="0"/>
              <w:right w:val="single" w:color="auto" w:sz="4" w:space="0"/>
            </w:tcBorders>
            <w:vAlign w:val="center"/>
          </w:tcPr>
          <w:p>
            <w:pPr>
              <w:snapToGrid w:val="0"/>
              <w:jc w:val="center"/>
              <w:rPr>
                <w:snapToGrid w:val="0"/>
                <w:color w:val="000000"/>
                <w:kern w:val="0"/>
                <w:sz w:val="24"/>
                <w:szCs w:val="24"/>
                <w:lang w:bidi="he-IL"/>
              </w:rPr>
            </w:pPr>
          </w:p>
        </w:tc>
        <w:tc>
          <w:tcPr>
            <w:tcW w:w="894" w:type="dxa"/>
            <w:tcBorders>
              <w:top w:val="single" w:color="auto" w:sz="4" w:space="0"/>
              <w:left w:val="single" w:color="auto" w:sz="4" w:space="0"/>
              <w:bottom w:val="single" w:color="auto" w:sz="4" w:space="0"/>
              <w:right w:val="single" w:color="auto" w:sz="4" w:space="0"/>
            </w:tcBorders>
            <w:vAlign w:val="center"/>
          </w:tcPr>
          <w:p>
            <w:pPr>
              <w:snapToGrid w:val="0"/>
              <w:jc w:val="center"/>
              <w:rPr>
                <w:snapToGrid w:val="0"/>
                <w:color w:val="000000"/>
                <w:kern w:val="0"/>
                <w:sz w:val="24"/>
                <w:szCs w:val="24"/>
              </w:rPr>
            </w:pPr>
            <w:r>
              <w:rPr>
                <w:rFonts w:hint="eastAsia"/>
                <w:snapToGrid w:val="0"/>
                <w:color w:val="000000"/>
                <w:kern w:val="0"/>
                <w:sz w:val="24"/>
                <w:szCs w:val="24"/>
              </w:rPr>
              <w:t>史云龙</w:t>
            </w:r>
          </w:p>
        </w:tc>
        <w:tc>
          <w:tcPr>
            <w:tcW w:w="3490"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eastAsia="宋体"/>
                <w:snapToGrid w:val="0"/>
                <w:color w:val="000000"/>
                <w:kern w:val="0"/>
                <w:sz w:val="24"/>
                <w:szCs w:val="24"/>
                <w:lang w:eastAsia="zh-CN"/>
              </w:rPr>
            </w:pPr>
            <w:r>
              <w:rPr>
                <w:rFonts w:hint="eastAsia"/>
                <w:snapToGrid w:val="0"/>
                <w:color w:val="000000"/>
                <w:kern w:val="0"/>
                <w:sz w:val="24"/>
                <w:szCs w:val="24"/>
                <w:lang w:eastAsia="zh-CN"/>
              </w:rPr>
              <w:t>青岛汇众纸业有限公司</w:t>
            </w:r>
          </w:p>
        </w:tc>
        <w:tc>
          <w:tcPr>
            <w:tcW w:w="12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default" w:eastAsia="宋体"/>
                <w:snapToGrid w:val="0"/>
                <w:color w:val="000000"/>
                <w:kern w:val="0"/>
                <w:sz w:val="24"/>
                <w:szCs w:val="24"/>
                <w:lang w:val="en-US" w:eastAsia="zh-CN"/>
              </w:rPr>
            </w:pPr>
            <w:r>
              <w:rPr>
                <w:rFonts w:hint="eastAsia"/>
                <w:snapToGrid w:val="0"/>
                <w:color w:val="000000"/>
                <w:kern w:val="0"/>
                <w:sz w:val="24"/>
                <w:szCs w:val="24"/>
                <w:lang w:val="en-US" w:eastAsia="zh-CN"/>
              </w:rPr>
              <w:t>车间主管</w:t>
            </w:r>
            <w:bookmarkStart w:id="0" w:name="_GoBack"/>
            <w:bookmarkEnd w:id="0"/>
          </w:p>
        </w:tc>
        <w:tc>
          <w:tcPr>
            <w:tcW w:w="2139" w:type="dxa"/>
            <w:tcBorders>
              <w:top w:val="single" w:color="auto" w:sz="4" w:space="0"/>
              <w:left w:val="single" w:color="auto" w:sz="4" w:space="0"/>
              <w:bottom w:val="single" w:color="auto" w:sz="4" w:space="0"/>
              <w:right w:val="single" w:color="auto" w:sz="4" w:space="0"/>
            </w:tcBorders>
            <w:vAlign w:val="center"/>
          </w:tcPr>
          <w:p>
            <w:pPr>
              <w:snapToGrid w:val="0"/>
              <w:jc w:val="center"/>
              <w:rPr>
                <w:szCs w:val="24"/>
              </w:rPr>
            </w:pPr>
          </w:p>
        </w:tc>
      </w:tr>
      <w:tr>
        <w:tblPrEx>
          <w:tblCellMar>
            <w:top w:w="0" w:type="dxa"/>
            <w:left w:w="51" w:type="dxa"/>
            <w:bottom w:w="0" w:type="dxa"/>
            <w:right w:w="51" w:type="dxa"/>
          </w:tblCellMar>
        </w:tblPrEx>
        <w:trPr>
          <w:trHeight w:val="794" w:hRule="atLeast"/>
          <w:jc w:val="center"/>
        </w:trPr>
        <w:tc>
          <w:tcPr>
            <w:tcW w:w="605" w:type="dxa"/>
            <w:tcBorders>
              <w:top w:val="single" w:color="auto" w:sz="4" w:space="0"/>
              <w:left w:val="single" w:color="auto" w:sz="4" w:space="0"/>
              <w:bottom w:val="single" w:color="auto" w:sz="4" w:space="0"/>
              <w:right w:val="single" w:color="auto" w:sz="4" w:space="0"/>
            </w:tcBorders>
            <w:vAlign w:val="center"/>
          </w:tcPr>
          <w:p>
            <w:pPr>
              <w:snapToGrid w:val="0"/>
              <w:jc w:val="center"/>
              <w:rPr>
                <w:snapToGrid w:val="0"/>
                <w:color w:val="000000"/>
                <w:kern w:val="0"/>
                <w:sz w:val="24"/>
                <w:szCs w:val="24"/>
              </w:rPr>
            </w:pPr>
            <w:r>
              <w:rPr>
                <w:snapToGrid w:val="0"/>
                <w:color w:val="000000"/>
                <w:kern w:val="0"/>
                <w:sz w:val="24"/>
                <w:szCs w:val="24"/>
              </w:rPr>
              <w:t>成员</w:t>
            </w:r>
          </w:p>
        </w:tc>
        <w:tc>
          <w:tcPr>
            <w:tcW w:w="1155" w:type="dxa"/>
            <w:tcBorders>
              <w:top w:val="single" w:color="auto" w:sz="4" w:space="0"/>
              <w:left w:val="single" w:color="auto" w:sz="4" w:space="0"/>
              <w:bottom w:val="single" w:color="auto" w:sz="4" w:space="0"/>
              <w:right w:val="single" w:color="auto" w:sz="4" w:space="0"/>
            </w:tcBorders>
            <w:vAlign w:val="center"/>
          </w:tcPr>
          <w:p>
            <w:pPr>
              <w:snapToGrid w:val="0"/>
              <w:jc w:val="center"/>
              <w:rPr>
                <w:snapToGrid w:val="0"/>
                <w:color w:val="000000"/>
                <w:kern w:val="0"/>
                <w:sz w:val="24"/>
                <w:szCs w:val="24"/>
              </w:rPr>
            </w:pPr>
            <w:r>
              <w:rPr>
                <w:snapToGrid w:val="0"/>
                <w:color w:val="000000"/>
                <w:kern w:val="0"/>
                <w:sz w:val="24"/>
                <w:szCs w:val="24"/>
              </w:rPr>
              <w:t>监测单位</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jc w:val="center"/>
              <w:rPr>
                <w:snapToGrid w:val="0"/>
                <w:color w:val="000000"/>
                <w:kern w:val="0"/>
                <w:sz w:val="24"/>
                <w:szCs w:val="24"/>
              </w:rPr>
            </w:pPr>
            <w:r>
              <w:rPr>
                <w:rFonts w:hint="eastAsia"/>
                <w:snapToGrid w:val="0"/>
                <w:color w:val="000000"/>
                <w:kern w:val="0"/>
                <w:sz w:val="24"/>
                <w:szCs w:val="24"/>
              </w:rPr>
              <w:t>姜海洋</w:t>
            </w:r>
          </w:p>
        </w:tc>
        <w:tc>
          <w:tcPr>
            <w:tcW w:w="3490" w:type="dxa"/>
            <w:tcBorders>
              <w:top w:val="single" w:color="auto" w:sz="4" w:space="0"/>
              <w:left w:val="single" w:color="auto" w:sz="4" w:space="0"/>
              <w:bottom w:val="single" w:color="auto" w:sz="4" w:space="0"/>
              <w:right w:val="single" w:color="auto" w:sz="4" w:space="0"/>
            </w:tcBorders>
            <w:vAlign w:val="center"/>
          </w:tcPr>
          <w:p>
            <w:pPr>
              <w:snapToGrid w:val="0"/>
              <w:jc w:val="center"/>
              <w:rPr>
                <w:snapToGrid w:val="0"/>
                <w:color w:val="000000"/>
                <w:kern w:val="0"/>
                <w:sz w:val="24"/>
                <w:szCs w:val="24"/>
              </w:rPr>
            </w:pPr>
            <w:r>
              <w:rPr>
                <w:rFonts w:hint="eastAsia"/>
                <w:snapToGrid w:val="0"/>
                <w:color w:val="000000"/>
                <w:kern w:val="0"/>
                <w:sz w:val="24"/>
                <w:szCs w:val="24"/>
              </w:rPr>
              <w:t>青岛中旭检测检验有限公司</w:t>
            </w:r>
          </w:p>
        </w:tc>
        <w:tc>
          <w:tcPr>
            <w:tcW w:w="1276" w:type="dxa"/>
            <w:tcBorders>
              <w:top w:val="single" w:color="auto" w:sz="4" w:space="0"/>
              <w:left w:val="single" w:color="auto" w:sz="4" w:space="0"/>
              <w:bottom w:val="single" w:color="auto" w:sz="4" w:space="0"/>
              <w:right w:val="single" w:color="auto" w:sz="4" w:space="0"/>
            </w:tcBorders>
            <w:vAlign w:val="center"/>
          </w:tcPr>
          <w:p>
            <w:pPr>
              <w:snapToGrid w:val="0"/>
              <w:jc w:val="center"/>
              <w:rPr>
                <w:snapToGrid w:val="0"/>
                <w:color w:val="000000"/>
                <w:kern w:val="0"/>
                <w:sz w:val="24"/>
                <w:szCs w:val="24"/>
              </w:rPr>
            </w:pPr>
            <w:r>
              <w:rPr>
                <w:snapToGrid w:val="0"/>
                <w:color w:val="000000"/>
                <w:kern w:val="0"/>
                <w:sz w:val="24"/>
                <w:szCs w:val="24"/>
              </w:rPr>
              <w:t>工程师</w:t>
            </w:r>
          </w:p>
        </w:tc>
        <w:tc>
          <w:tcPr>
            <w:tcW w:w="2139" w:type="dxa"/>
            <w:tcBorders>
              <w:top w:val="single" w:color="auto" w:sz="4" w:space="0"/>
              <w:left w:val="single" w:color="auto" w:sz="4" w:space="0"/>
              <w:bottom w:val="single" w:color="auto" w:sz="4" w:space="0"/>
              <w:right w:val="single" w:color="auto" w:sz="4" w:space="0"/>
            </w:tcBorders>
            <w:vAlign w:val="center"/>
          </w:tcPr>
          <w:p>
            <w:pPr>
              <w:snapToGrid w:val="0"/>
              <w:jc w:val="center"/>
              <w:rPr>
                <w:szCs w:val="24"/>
              </w:rPr>
            </w:pPr>
          </w:p>
        </w:tc>
      </w:tr>
    </w:tbl>
    <w:p>
      <w:pPr>
        <w:spacing w:line="340" w:lineRule="exact"/>
        <w:ind w:firstLine="706" w:firstLineChars="200"/>
        <w:jc w:val="right"/>
        <w:rPr>
          <w:rFonts w:hint="eastAsia" w:eastAsia="宋体"/>
          <w:b/>
          <w:bCs/>
          <w:snapToGrid w:val="0"/>
          <w:color w:val="000000"/>
          <w:sz w:val="24"/>
          <w:szCs w:val="24"/>
          <w:lang w:eastAsia="zh-CN"/>
        </w:rPr>
      </w:pPr>
      <w:r>
        <w:rPr>
          <w:rFonts w:hint="eastAsia"/>
          <w:b/>
          <w:bCs/>
          <w:snapToGrid w:val="0"/>
          <w:color w:val="000000"/>
          <w:sz w:val="24"/>
          <w:szCs w:val="24"/>
          <w:lang w:eastAsia="zh-CN"/>
        </w:rPr>
        <w:t>青岛汇众纸业有限公司</w:t>
      </w:r>
    </w:p>
    <w:p>
      <w:pPr>
        <w:spacing w:line="340" w:lineRule="exact"/>
        <w:ind w:firstLine="706" w:firstLineChars="200"/>
        <w:jc w:val="right"/>
        <w:rPr>
          <w:snapToGrid w:val="0"/>
          <w:sz w:val="28"/>
          <w:szCs w:val="28"/>
        </w:rPr>
      </w:pPr>
      <w:r>
        <w:rPr>
          <w:rFonts w:hint="eastAsia"/>
          <w:b/>
          <w:bCs/>
          <w:snapToGrid w:val="0"/>
          <w:color w:val="000000"/>
          <w:sz w:val="24"/>
          <w:szCs w:val="24"/>
        </w:rPr>
        <w:t>2020年</w:t>
      </w:r>
      <w:r>
        <w:rPr>
          <w:rFonts w:hint="eastAsia"/>
          <w:b/>
          <w:bCs/>
          <w:snapToGrid w:val="0"/>
          <w:color w:val="000000"/>
          <w:sz w:val="24"/>
          <w:szCs w:val="24"/>
          <w:lang w:val="en-US" w:eastAsia="zh-CN"/>
        </w:rPr>
        <w:t>6</w:t>
      </w:r>
      <w:r>
        <w:rPr>
          <w:rFonts w:hint="eastAsia"/>
          <w:b/>
          <w:bCs/>
          <w:snapToGrid w:val="0"/>
          <w:color w:val="000000"/>
          <w:sz w:val="24"/>
          <w:szCs w:val="24"/>
        </w:rPr>
        <w:t>月</w:t>
      </w:r>
      <w:r>
        <w:rPr>
          <w:rFonts w:hint="eastAsia"/>
          <w:b/>
          <w:bCs/>
          <w:snapToGrid w:val="0"/>
          <w:color w:val="000000"/>
          <w:sz w:val="24"/>
          <w:szCs w:val="24"/>
          <w:lang w:val="en-US" w:eastAsia="zh-CN"/>
        </w:rPr>
        <w:t>15</w:t>
      </w:r>
      <w:r>
        <w:rPr>
          <w:rFonts w:hint="eastAsia"/>
          <w:b/>
          <w:bCs/>
          <w:snapToGrid w:val="0"/>
          <w:color w:val="000000"/>
          <w:sz w:val="24"/>
          <w:szCs w:val="24"/>
        </w:rPr>
        <w:t>日</w:t>
      </w:r>
    </w:p>
    <w:sectPr>
      <w:footerReference r:id="rId5" w:type="first"/>
      <w:footerReference r:id="rId3" w:type="default"/>
      <w:footerReference r:id="rId4" w:type="even"/>
      <w:pgSz w:w="11906" w:h="16838"/>
      <w:pgMar w:top="1440" w:right="1080" w:bottom="1440" w:left="1080" w:header="851" w:footer="992" w:gutter="0"/>
      <w:pgNumType w:fmt="numberInDash"/>
      <w:cols w:space="720" w:num="1"/>
      <w:docGrid w:type="linesAndChars" w:linePitch="560" w:charSpace="2333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Arial Unicode MS"/>
    <w:panose1 w:val="00000000000000000000"/>
    <w:charset w:val="86"/>
    <w:family w:val="script"/>
    <w:pitch w:val="default"/>
    <w:sig w:usb0="00000000" w:usb1="00000000" w:usb2="00000010" w:usb3="00000000" w:csb0="00040000" w:csb1="00000000"/>
  </w:font>
  <w:font w:name="汉鼎简书宋">
    <w:altName w:val="宋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隶书">
    <w:panose1 w:val="0201050906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jc w:val="center"/>
      <w:rPr>
        <w:rFonts w:cs="Times New Roman"/>
      </w:rPr>
    </w:pPr>
  </w:p>
  <w:p>
    <w:pPr>
      <w:pStyle w:val="14"/>
      <w:ind w:firstLine="0" w:firstLineChars="0"/>
      <w:rPr>
        <w:rFonts w:eastAsia="楷体_GB2312" w:cs="Times New Roman"/>
        <w:b/>
        <w:bCs/>
        <w:snapToGrid w:val="0"/>
        <w:kern w:val="0"/>
        <w:sz w:val="22"/>
        <w:szCs w:val="22"/>
        <w:u w:val="singl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HorizontalSpacing w:val="162"/>
  <w:drawingGridVerticalSpacing w:val="280"/>
  <w:displayHorizontalDrawingGridEvery w:val="0"/>
  <w:displayVerticalDrawingGridEvery w:val="2"/>
  <w:doNotShadeFormData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14E0"/>
    <w:rsid w:val="00013024"/>
    <w:rsid w:val="00024467"/>
    <w:rsid w:val="0007362E"/>
    <w:rsid w:val="000C23AD"/>
    <w:rsid w:val="0020045B"/>
    <w:rsid w:val="00200B70"/>
    <w:rsid w:val="002C1A27"/>
    <w:rsid w:val="00435F95"/>
    <w:rsid w:val="004E40B2"/>
    <w:rsid w:val="00587C14"/>
    <w:rsid w:val="005A31B4"/>
    <w:rsid w:val="005D1025"/>
    <w:rsid w:val="005D7149"/>
    <w:rsid w:val="00653F1A"/>
    <w:rsid w:val="007152BB"/>
    <w:rsid w:val="0073772C"/>
    <w:rsid w:val="00794BA4"/>
    <w:rsid w:val="009D6465"/>
    <w:rsid w:val="00A2371F"/>
    <w:rsid w:val="00A62FA6"/>
    <w:rsid w:val="00AA1133"/>
    <w:rsid w:val="00B04F11"/>
    <w:rsid w:val="00BA50B0"/>
    <w:rsid w:val="00BA5AD8"/>
    <w:rsid w:val="00BF53B4"/>
    <w:rsid w:val="00C47878"/>
    <w:rsid w:val="00C91F3E"/>
    <w:rsid w:val="00CC75F5"/>
    <w:rsid w:val="00CF578B"/>
    <w:rsid w:val="00DC3328"/>
    <w:rsid w:val="00ED012E"/>
    <w:rsid w:val="00F514E0"/>
    <w:rsid w:val="00F6790B"/>
    <w:rsid w:val="00F8253A"/>
    <w:rsid w:val="00FA70C4"/>
    <w:rsid w:val="149B6857"/>
    <w:rsid w:val="367527B0"/>
    <w:rsid w:val="45390994"/>
    <w:rsid w:val="45392145"/>
    <w:rsid w:val="56E974DD"/>
    <w:rsid w:val="703F32A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qFormat="1" w:unhideWhenUsed="0" w:uiPriority="9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qFormat="1" w:unhideWhenUsed="0" w:uiPriority="9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9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qFormat="1" w:unhideWhenUsed="0" w:uiPriority="9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qFormat="1" w:unhideWhenUsed="0" w:uiPriority="9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qFormat="1" w:unhideWhenUsed="0" w:uiPriority="9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qFormat="1" w:unhideWhenUsed="0" w:uiPriority="9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qFormat="1" w:unhideWhenUsed="0" w:uiPriority="9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link w:val="34"/>
    <w:qFormat/>
    <w:uiPriority w:val="99"/>
    <w:pPr>
      <w:keepNext/>
      <w:keepLines/>
      <w:spacing w:before="340" w:after="330" w:line="578" w:lineRule="auto"/>
      <w:outlineLvl w:val="0"/>
    </w:pPr>
    <w:rPr>
      <w:rFonts w:ascii="黑体" w:hAnsi="黑体" w:eastAsia="黑体" w:cs="黑体"/>
      <w:sz w:val="32"/>
      <w:szCs w:val="32"/>
    </w:rPr>
  </w:style>
  <w:style w:type="paragraph" w:styleId="5">
    <w:name w:val="heading 2"/>
    <w:basedOn w:val="1"/>
    <w:next w:val="6"/>
    <w:link w:val="35"/>
    <w:qFormat/>
    <w:uiPriority w:val="99"/>
    <w:pPr>
      <w:keepNext/>
      <w:keepLines/>
      <w:spacing w:before="260" w:after="260" w:line="415" w:lineRule="auto"/>
      <w:outlineLvl w:val="1"/>
    </w:pPr>
    <w:rPr>
      <w:rFonts w:ascii="仿宋_GB2312" w:hAnsi="宋体" w:eastAsia="仿宋_GB2312" w:cs="仿宋_GB2312"/>
      <w:b/>
      <w:bCs/>
      <w:sz w:val="32"/>
      <w:szCs w:val="32"/>
    </w:rPr>
  </w:style>
  <w:style w:type="paragraph" w:styleId="7">
    <w:name w:val="heading 3"/>
    <w:basedOn w:val="1"/>
    <w:next w:val="1"/>
    <w:link w:val="36"/>
    <w:qFormat/>
    <w:uiPriority w:val="99"/>
    <w:pPr>
      <w:keepNext/>
      <w:keepLines/>
      <w:spacing w:before="260" w:after="260" w:line="416" w:lineRule="auto"/>
      <w:outlineLvl w:val="2"/>
    </w:pPr>
    <w:rPr>
      <w:rFonts w:ascii="仿宋_GB2312" w:hAnsi="宋体" w:eastAsia="仿宋_GB2312" w:cs="仿宋_GB2312"/>
      <w:b/>
      <w:bCs/>
      <w:sz w:val="32"/>
      <w:szCs w:val="32"/>
    </w:rPr>
  </w:style>
  <w:style w:type="character" w:default="1" w:styleId="31">
    <w:name w:val="Default Paragraph Font"/>
    <w:unhideWhenUsed/>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link w:val="38"/>
    <w:qFormat/>
    <w:uiPriority w:val="99"/>
    <w:pPr>
      <w:spacing w:after="120" w:line="240" w:lineRule="auto"/>
      <w:ind w:left="420" w:leftChars="200"/>
    </w:pPr>
    <w:rPr>
      <w:sz w:val="21"/>
      <w:szCs w:val="21"/>
    </w:rPr>
  </w:style>
  <w:style w:type="paragraph" w:styleId="3">
    <w:name w:val="Body Text Indent"/>
    <w:basedOn w:val="1"/>
    <w:link w:val="37"/>
    <w:qFormat/>
    <w:uiPriority w:val="99"/>
    <w:pPr>
      <w:spacing w:line="400" w:lineRule="atLeast"/>
      <w:ind w:firstLine="420"/>
    </w:pPr>
    <w:rPr>
      <w:rFonts w:ascii="仿宋_GB2312" w:hAnsi="宋体" w:eastAsia="仿宋_GB2312" w:cs="仿宋_GB2312"/>
      <w:sz w:val="32"/>
      <w:szCs w:val="32"/>
    </w:rPr>
  </w:style>
  <w:style w:type="paragraph" w:styleId="6">
    <w:name w:val="Normal Indent"/>
    <w:basedOn w:val="1"/>
    <w:link w:val="61"/>
    <w:qFormat/>
    <w:uiPriority w:val="99"/>
    <w:pPr>
      <w:snapToGrid w:val="0"/>
      <w:spacing w:before="60" w:after="60" w:line="300" w:lineRule="auto"/>
      <w:ind w:firstLine="420"/>
    </w:pPr>
    <w:rPr>
      <w:sz w:val="24"/>
      <w:szCs w:val="24"/>
    </w:rPr>
  </w:style>
  <w:style w:type="paragraph" w:styleId="8">
    <w:name w:val="Document Map"/>
    <w:basedOn w:val="1"/>
    <w:link w:val="41"/>
    <w:qFormat/>
    <w:uiPriority w:val="99"/>
    <w:pPr>
      <w:shd w:val="clear" w:color="auto" w:fill="000080"/>
    </w:pPr>
  </w:style>
  <w:style w:type="paragraph" w:styleId="9">
    <w:name w:val="annotation text"/>
    <w:basedOn w:val="1"/>
    <w:link w:val="42"/>
    <w:qFormat/>
    <w:uiPriority w:val="99"/>
    <w:pPr>
      <w:jc w:val="left"/>
    </w:pPr>
  </w:style>
  <w:style w:type="paragraph" w:styleId="10">
    <w:name w:val="Body Text"/>
    <w:basedOn w:val="1"/>
    <w:link w:val="39"/>
    <w:qFormat/>
    <w:uiPriority w:val="99"/>
    <w:pPr>
      <w:spacing w:after="120"/>
    </w:pPr>
  </w:style>
  <w:style w:type="paragraph" w:styleId="11">
    <w:name w:val="Plain Text"/>
    <w:basedOn w:val="1"/>
    <w:link w:val="43"/>
    <w:qFormat/>
    <w:uiPriority w:val="99"/>
    <w:rPr>
      <w:rFonts w:ascii="宋体" w:hAnsi="Courier New" w:cs="宋体"/>
    </w:rPr>
  </w:style>
  <w:style w:type="paragraph" w:styleId="12">
    <w:name w:val="Date"/>
    <w:basedOn w:val="1"/>
    <w:next w:val="1"/>
    <w:link w:val="44"/>
    <w:qFormat/>
    <w:uiPriority w:val="99"/>
    <w:pPr>
      <w:ind w:left="100" w:leftChars="2500"/>
    </w:pPr>
    <w:rPr>
      <w:rFonts w:ascii="仿宋_GB2312" w:hAnsi="宋体" w:eastAsia="仿宋_GB2312" w:cs="仿宋_GB2312"/>
      <w:sz w:val="32"/>
      <w:szCs w:val="32"/>
    </w:rPr>
  </w:style>
  <w:style w:type="paragraph" w:styleId="13">
    <w:name w:val="Balloon Text"/>
    <w:basedOn w:val="1"/>
    <w:link w:val="45"/>
    <w:qFormat/>
    <w:uiPriority w:val="99"/>
    <w:rPr>
      <w:rFonts w:ascii="仿宋_GB2312" w:hAnsi="宋体" w:eastAsia="仿宋_GB2312" w:cs="仿宋_GB2312"/>
      <w:sz w:val="18"/>
      <w:szCs w:val="18"/>
    </w:rPr>
  </w:style>
  <w:style w:type="paragraph" w:styleId="14">
    <w:name w:val="footer"/>
    <w:basedOn w:val="1"/>
    <w:link w:val="46"/>
    <w:qFormat/>
    <w:uiPriority w:val="99"/>
    <w:pPr>
      <w:tabs>
        <w:tab w:val="center" w:pos="4140"/>
        <w:tab w:val="right" w:pos="8300"/>
      </w:tabs>
      <w:snapToGrid w:val="0"/>
      <w:ind w:firstLine="200" w:firstLineChars="200"/>
    </w:pPr>
    <w:rPr>
      <w:rFonts w:ascii="仿宋_GB2312" w:hAnsi="宋体" w:eastAsia="仿宋_GB2312" w:cs="仿宋_GB2312"/>
      <w:sz w:val="18"/>
      <w:szCs w:val="18"/>
    </w:rPr>
  </w:style>
  <w:style w:type="paragraph" w:styleId="15">
    <w:name w:val="header"/>
    <w:basedOn w:val="1"/>
    <w:link w:val="47"/>
    <w:qFormat/>
    <w:uiPriority w:val="99"/>
    <w:pPr>
      <w:pBdr>
        <w:bottom w:val="single" w:color="auto" w:sz="6" w:space="31"/>
      </w:pBdr>
      <w:tabs>
        <w:tab w:val="center" w:pos="4140"/>
        <w:tab w:val="right" w:pos="8300"/>
      </w:tabs>
      <w:snapToGrid w:val="0"/>
      <w:ind w:firstLine="360" w:firstLineChars="200"/>
      <w:jc w:val="center"/>
    </w:pPr>
    <w:rPr>
      <w:rFonts w:ascii="仿宋_GB2312" w:hAnsi="宋体" w:eastAsia="仿宋_GB2312" w:cs="仿宋_GB2312"/>
      <w:sz w:val="18"/>
      <w:szCs w:val="18"/>
    </w:rPr>
  </w:style>
  <w:style w:type="paragraph" w:styleId="16">
    <w:name w:val="toc 1"/>
    <w:basedOn w:val="1"/>
    <w:next w:val="1"/>
    <w:qFormat/>
    <w:uiPriority w:val="99"/>
    <w:pPr>
      <w:tabs>
        <w:tab w:val="right" w:leader="dot" w:pos="8280"/>
      </w:tabs>
      <w:jc w:val="center"/>
    </w:pPr>
    <w:rPr>
      <w:rFonts w:ascii="黑体" w:hAnsi="黑体" w:eastAsia="黑体" w:cs="黑体"/>
      <w:sz w:val="44"/>
      <w:szCs w:val="44"/>
    </w:rPr>
  </w:style>
  <w:style w:type="paragraph" w:styleId="17">
    <w:name w:val="toc 2"/>
    <w:basedOn w:val="1"/>
    <w:next w:val="1"/>
    <w:qFormat/>
    <w:uiPriority w:val="99"/>
    <w:pPr>
      <w:ind w:left="420" w:leftChars="200"/>
    </w:pPr>
  </w:style>
  <w:style w:type="paragraph" w:styleId="18">
    <w:name w:val="Normal (Web)"/>
    <w:basedOn w:val="1"/>
    <w:qFormat/>
    <w:uiPriority w:val="99"/>
    <w:pPr>
      <w:spacing w:before="100" w:beforeAutospacing="1" w:after="100" w:afterAutospacing="1"/>
      <w:jc w:val="left"/>
    </w:pPr>
    <w:rPr>
      <w:kern w:val="0"/>
      <w:sz w:val="24"/>
      <w:szCs w:val="24"/>
    </w:rPr>
  </w:style>
  <w:style w:type="paragraph" w:styleId="19">
    <w:name w:val="Title"/>
    <w:basedOn w:val="1"/>
    <w:link w:val="48"/>
    <w:qFormat/>
    <w:uiPriority w:val="99"/>
    <w:pPr>
      <w:jc w:val="center"/>
    </w:pPr>
    <w:rPr>
      <w:rFonts w:ascii="方正小标宋简体" w:hAnsi="宋体" w:eastAsia="方正小标宋简体" w:cs="方正小标宋简体"/>
      <w:sz w:val="36"/>
      <w:szCs w:val="36"/>
    </w:rPr>
  </w:style>
  <w:style w:type="paragraph" w:styleId="20">
    <w:name w:val="annotation subject"/>
    <w:basedOn w:val="9"/>
    <w:next w:val="9"/>
    <w:link w:val="71"/>
    <w:qFormat/>
    <w:uiPriority w:val="99"/>
    <w:rPr>
      <w:b/>
      <w:bCs/>
    </w:rPr>
  </w:style>
  <w:style w:type="paragraph" w:styleId="21">
    <w:name w:val="Body Text First Indent"/>
    <w:basedOn w:val="10"/>
    <w:link w:val="40"/>
    <w:qFormat/>
    <w:uiPriority w:val="99"/>
    <w:pPr>
      <w:ind w:firstLine="420" w:firstLineChars="100"/>
    </w:pPr>
  </w:style>
  <w:style w:type="table" w:styleId="23">
    <w:name w:val="Table Grid"/>
    <w:basedOn w:val="2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4">
    <w:name w:val="Medium Grid 3"/>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C0C0C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000000"/>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000000"/>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000000"/>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000000"/>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80808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808080"/>
      </w:tcPr>
    </w:tblStylePr>
  </w:style>
  <w:style w:type="table" w:styleId="25">
    <w:name w:val="Medium Grid 3 Accent 1"/>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3DFEE"/>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F81B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F81B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F81B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F81B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7BFDE"/>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7BFDE"/>
      </w:tcPr>
    </w:tblStylePr>
  </w:style>
  <w:style w:type="table" w:styleId="26">
    <w:name w:val="Medium Grid 3 Accent 2"/>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FD3D2"/>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C0504D"/>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C0504D"/>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C0504D"/>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C0504D"/>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DFA7A6"/>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DFA7A6"/>
      </w:tcPr>
    </w:tblStylePr>
  </w:style>
  <w:style w:type="table" w:styleId="27">
    <w:name w:val="Medium Grid 3 Accent 3"/>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E6EED5"/>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9BBB59"/>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9BBB59"/>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9BBB59"/>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9BBB59"/>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CDDDAC"/>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CDDDAC"/>
      </w:tcPr>
    </w:tblStylePr>
  </w:style>
  <w:style w:type="table" w:styleId="28">
    <w:name w:val="Medium Grid 3 Accent 4"/>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FD8E8"/>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8064A2"/>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8064A2"/>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8064A2"/>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8064A2"/>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BFB1D0"/>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BFB1D0"/>
      </w:tcPr>
    </w:tblStylePr>
  </w:style>
  <w:style w:type="table" w:styleId="29">
    <w:name w:val="Medium Grid 3 Accent 5"/>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D2EAF1"/>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4BACC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4BACC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4BACC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4BACC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A5D5E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A5D5E2"/>
      </w:tcPr>
    </w:tblStylePr>
  </w:style>
  <w:style w:type="table" w:styleId="30">
    <w:name w:val="Medium Grid 3 Accent 6"/>
    <w:basedOn w:val="22"/>
    <w:qFormat/>
    <w:uiPriority w:val="99"/>
    <w:tblPr>
      <w:tblBorders>
        <w:top w:val="single" w:color="CCE8CF" w:sz="8" w:space="0"/>
        <w:left w:val="single" w:color="CCE8CF" w:sz="8" w:space="0"/>
        <w:bottom w:val="single" w:color="CCE8CF" w:sz="8" w:space="0"/>
        <w:right w:val="single" w:color="CCE8CF" w:sz="8" w:space="0"/>
        <w:insideH w:val="single" w:color="CCE8CF" w:sz="6" w:space="0"/>
        <w:insideV w:val="single" w:color="CCE8CF" w:sz="6" w:space="0"/>
      </w:tblBorders>
    </w:tblPr>
    <w:tcPr>
      <w:shd w:val="clear" w:color="auto" w:fill="FDE4D0"/>
    </w:tcPr>
    <w:tblStylePr w:type="firstRow">
      <w:rPr>
        <w:b/>
        <w:bCs/>
        <w:i w:val="0"/>
        <w:iCs w:val="0"/>
        <w:color w:val="CCE8CF"/>
      </w:rPr>
      <w:tblPr/>
      <w:tcPr>
        <w:tcBorders>
          <w:top w:val="single" w:color="CCE8CF" w:sz="8" w:space="0"/>
          <w:left w:val="single" w:color="CCE8CF" w:sz="8" w:space="0"/>
          <w:bottom w:val="single" w:color="CCE8CF" w:sz="24" w:space="0"/>
          <w:right w:val="single" w:color="CCE8CF" w:sz="8" w:space="0"/>
          <w:insideH w:val="nil"/>
          <w:insideV w:val="single" w:sz="8" w:space="0"/>
        </w:tcBorders>
        <w:shd w:val="clear" w:color="auto" w:fill="F79646"/>
      </w:tcPr>
    </w:tblStylePr>
    <w:tblStylePr w:type="lastRow">
      <w:rPr>
        <w:b/>
        <w:bCs/>
        <w:i w:val="0"/>
        <w:iCs w:val="0"/>
        <w:color w:val="CCE8CF"/>
      </w:rPr>
      <w:tblPr/>
      <w:tcPr>
        <w:tcBorders>
          <w:top w:val="single" w:color="CCE8CF" w:sz="24" w:space="0"/>
          <w:left w:val="single" w:color="CCE8CF" w:sz="8" w:space="0"/>
          <w:bottom w:val="single" w:color="CCE8CF" w:sz="8" w:space="0"/>
          <w:right w:val="single" w:color="CCE8CF" w:sz="8" w:space="0"/>
          <w:insideH w:val="nil"/>
          <w:insideV w:val="single" w:sz="8" w:space="0"/>
        </w:tcBorders>
        <w:shd w:val="clear" w:color="auto" w:fill="F79646"/>
      </w:tcPr>
    </w:tblStylePr>
    <w:tblStylePr w:type="firstCol">
      <w:rPr>
        <w:b/>
        <w:bCs/>
        <w:i w:val="0"/>
        <w:iCs w:val="0"/>
        <w:color w:val="CCE8CF"/>
      </w:rPr>
      <w:tblPr/>
      <w:tcPr>
        <w:tcBorders>
          <w:left w:val="single" w:color="CCE8CF" w:sz="8" w:space="0"/>
          <w:right w:val="single" w:color="CCE8CF" w:sz="24" w:space="0"/>
          <w:insideH w:val="nil"/>
          <w:insideV w:val="nil"/>
        </w:tcBorders>
        <w:shd w:val="clear" w:color="auto" w:fill="F79646"/>
      </w:tcPr>
    </w:tblStylePr>
    <w:tblStylePr w:type="lastCol">
      <w:rPr>
        <w:b/>
        <w:bCs/>
        <w:i w:val="0"/>
        <w:iCs w:val="0"/>
        <w:color w:val="CCE8CF"/>
      </w:rPr>
      <w:tblPr/>
      <w:tcPr>
        <w:tcBorders>
          <w:top w:val="nil"/>
          <w:left w:val="single" w:color="CCE8CF" w:sz="24" w:space="0"/>
          <w:bottom w:val="nil"/>
          <w:right w:val="nil"/>
          <w:insideH w:val="nil"/>
          <w:insideV w:val="nil"/>
        </w:tcBorders>
        <w:shd w:val="clear" w:color="auto" w:fill="F79646"/>
      </w:tcPr>
    </w:tblStylePr>
    <w:tblStylePr w:type="band1Vert">
      <w:tblPr/>
      <w:tcPr>
        <w:tcBorders>
          <w:top w:val="single" w:color="CCE8CF" w:sz="8" w:space="0"/>
          <w:left w:val="single" w:color="CCE8CF" w:sz="8" w:space="0"/>
          <w:bottom w:val="single" w:color="CCE8CF" w:sz="8" w:space="0"/>
          <w:right w:val="single" w:color="CCE8CF" w:sz="8" w:space="0"/>
          <w:insideH w:val="nil"/>
          <w:insideV w:val="nil"/>
        </w:tcBorders>
        <w:shd w:val="clear" w:color="auto" w:fill="FBCAA2"/>
      </w:tcPr>
    </w:tblStylePr>
    <w:tblStylePr w:type="band1Horz">
      <w:tblPr/>
      <w:tcPr>
        <w:tcBorders>
          <w:top w:val="single" w:color="CCE8CF" w:sz="8" w:space="0"/>
          <w:left w:val="single" w:color="CCE8CF" w:sz="8" w:space="0"/>
          <w:bottom w:val="single" w:color="CCE8CF" w:sz="8" w:space="0"/>
          <w:right w:val="single" w:color="CCE8CF" w:sz="8" w:space="0"/>
          <w:insideH w:val="single" w:sz="8" w:space="0"/>
          <w:insideV w:val="single" w:sz="8" w:space="0"/>
        </w:tcBorders>
        <w:shd w:val="clear" w:color="auto" w:fill="FBCAA2"/>
      </w:tcPr>
    </w:tblStylePr>
  </w:style>
  <w:style w:type="character" w:styleId="32">
    <w:name w:val="page number"/>
    <w:qFormat/>
    <w:uiPriority w:val="99"/>
    <w:rPr>
      <w:rFonts w:ascii="Times New Roman" w:hAnsi="Times New Roman" w:eastAsia="宋体" w:cs="Times New Roman"/>
    </w:rPr>
  </w:style>
  <w:style w:type="character" w:styleId="33">
    <w:name w:val="Hyperlink"/>
    <w:qFormat/>
    <w:uiPriority w:val="99"/>
    <w:rPr>
      <w:color w:val="0000FF"/>
      <w:u w:val="single"/>
    </w:rPr>
  </w:style>
  <w:style w:type="character" w:customStyle="1" w:styleId="34">
    <w:name w:val="标题 1 Char"/>
    <w:link w:val="4"/>
    <w:qFormat/>
    <w:uiPriority w:val="99"/>
    <w:rPr>
      <w:rFonts w:ascii="黑体" w:hAnsi="黑体" w:eastAsia="黑体" w:cs="黑体"/>
      <w:kern w:val="2"/>
      <w:sz w:val="32"/>
      <w:szCs w:val="32"/>
      <w:lang w:val="en-US" w:eastAsia="zh-CN"/>
    </w:rPr>
  </w:style>
  <w:style w:type="character" w:customStyle="1" w:styleId="35">
    <w:name w:val="标题 2 Char"/>
    <w:link w:val="5"/>
    <w:qFormat/>
    <w:uiPriority w:val="99"/>
    <w:rPr>
      <w:rFonts w:ascii="仿宋_GB2312" w:hAnsi="宋体" w:eastAsia="仿宋_GB2312" w:cs="仿宋_GB2312"/>
      <w:b/>
      <w:bCs/>
      <w:kern w:val="2"/>
      <w:sz w:val="32"/>
      <w:szCs w:val="32"/>
      <w:lang w:val="en-US" w:eastAsia="zh-CN"/>
    </w:rPr>
  </w:style>
  <w:style w:type="character" w:customStyle="1" w:styleId="36">
    <w:name w:val="标题 3 Char"/>
    <w:link w:val="7"/>
    <w:qFormat/>
    <w:uiPriority w:val="99"/>
    <w:rPr>
      <w:rFonts w:ascii="仿宋_GB2312" w:hAnsi="宋体" w:eastAsia="仿宋_GB2312" w:cs="仿宋_GB2312"/>
      <w:b/>
      <w:bCs/>
      <w:kern w:val="2"/>
      <w:sz w:val="32"/>
      <w:szCs w:val="32"/>
    </w:rPr>
  </w:style>
  <w:style w:type="character" w:customStyle="1" w:styleId="37">
    <w:name w:val="正文文本缩进 Char"/>
    <w:link w:val="3"/>
    <w:qFormat/>
    <w:uiPriority w:val="99"/>
    <w:rPr>
      <w:rFonts w:ascii="仿宋_GB2312" w:hAnsi="宋体" w:eastAsia="仿宋_GB2312" w:cs="仿宋_GB2312"/>
      <w:kern w:val="2"/>
      <w:sz w:val="32"/>
      <w:szCs w:val="32"/>
    </w:rPr>
  </w:style>
  <w:style w:type="character" w:customStyle="1" w:styleId="38">
    <w:name w:val="正文首行缩进 2 Char"/>
    <w:link w:val="2"/>
    <w:qFormat/>
    <w:uiPriority w:val="99"/>
    <w:rPr>
      <w:rFonts w:ascii="仿宋_GB2312" w:hAnsi="宋体" w:eastAsia="仿宋_GB2312" w:cs="仿宋_GB2312"/>
      <w:kern w:val="2"/>
      <w:sz w:val="32"/>
      <w:szCs w:val="21"/>
    </w:rPr>
  </w:style>
  <w:style w:type="character" w:customStyle="1" w:styleId="39">
    <w:name w:val="正文文本 Char"/>
    <w:link w:val="10"/>
    <w:qFormat/>
    <w:uiPriority w:val="99"/>
    <w:rPr>
      <w:szCs w:val="21"/>
    </w:rPr>
  </w:style>
  <w:style w:type="character" w:customStyle="1" w:styleId="40">
    <w:name w:val="正文首行缩进 Char"/>
    <w:link w:val="21"/>
    <w:qFormat/>
    <w:uiPriority w:val="99"/>
    <w:rPr>
      <w:szCs w:val="21"/>
    </w:rPr>
  </w:style>
  <w:style w:type="character" w:customStyle="1" w:styleId="41">
    <w:name w:val="文档结构图 Char"/>
    <w:link w:val="8"/>
    <w:qFormat/>
    <w:uiPriority w:val="99"/>
    <w:rPr>
      <w:sz w:val="0"/>
      <w:szCs w:val="0"/>
    </w:rPr>
  </w:style>
  <w:style w:type="character" w:customStyle="1" w:styleId="42">
    <w:name w:val="批注文字 Char"/>
    <w:link w:val="9"/>
    <w:qFormat/>
    <w:uiPriority w:val="99"/>
    <w:rPr>
      <w:kern w:val="2"/>
      <w:sz w:val="24"/>
      <w:szCs w:val="24"/>
    </w:rPr>
  </w:style>
  <w:style w:type="character" w:customStyle="1" w:styleId="43">
    <w:name w:val="纯文本 Char"/>
    <w:link w:val="11"/>
    <w:qFormat/>
    <w:uiPriority w:val="99"/>
    <w:rPr>
      <w:rFonts w:ascii="宋体" w:hAnsi="Courier New" w:cs="Courier New"/>
      <w:szCs w:val="21"/>
    </w:rPr>
  </w:style>
  <w:style w:type="character" w:customStyle="1" w:styleId="44">
    <w:name w:val="日期 Char"/>
    <w:link w:val="12"/>
    <w:qFormat/>
    <w:uiPriority w:val="99"/>
    <w:rPr>
      <w:rFonts w:ascii="仿宋_GB2312" w:hAnsi="宋体" w:eastAsia="仿宋_GB2312" w:cs="仿宋_GB2312"/>
      <w:kern w:val="2"/>
      <w:sz w:val="32"/>
      <w:szCs w:val="32"/>
    </w:rPr>
  </w:style>
  <w:style w:type="character" w:customStyle="1" w:styleId="45">
    <w:name w:val="批注框文本 Char"/>
    <w:link w:val="13"/>
    <w:qFormat/>
    <w:uiPriority w:val="99"/>
    <w:rPr>
      <w:rFonts w:ascii="仿宋_GB2312" w:hAnsi="宋体" w:eastAsia="仿宋_GB2312" w:cs="仿宋_GB2312"/>
      <w:kern w:val="2"/>
      <w:sz w:val="18"/>
      <w:szCs w:val="18"/>
    </w:rPr>
  </w:style>
  <w:style w:type="character" w:customStyle="1" w:styleId="46">
    <w:name w:val="页脚 Char"/>
    <w:link w:val="14"/>
    <w:qFormat/>
    <w:uiPriority w:val="99"/>
    <w:rPr>
      <w:rFonts w:ascii="仿宋_GB2312" w:hAnsi="宋体" w:eastAsia="仿宋_GB2312" w:cs="仿宋_GB2312"/>
      <w:kern w:val="2"/>
      <w:sz w:val="18"/>
      <w:szCs w:val="18"/>
    </w:rPr>
  </w:style>
  <w:style w:type="character" w:customStyle="1" w:styleId="47">
    <w:name w:val="页眉 Char"/>
    <w:link w:val="15"/>
    <w:qFormat/>
    <w:uiPriority w:val="99"/>
    <w:rPr>
      <w:rFonts w:ascii="仿宋_GB2312" w:hAnsi="宋体" w:eastAsia="仿宋_GB2312" w:cs="仿宋_GB2312"/>
      <w:kern w:val="2"/>
      <w:sz w:val="18"/>
      <w:szCs w:val="18"/>
    </w:rPr>
  </w:style>
  <w:style w:type="character" w:customStyle="1" w:styleId="48">
    <w:name w:val="标题 Char"/>
    <w:link w:val="19"/>
    <w:qFormat/>
    <w:uiPriority w:val="99"/>
    <w:rPr>
      <w:rFonts w:ascii="方正小标宋简体" w:hAnsi="宋体" w:eastAsia="方正小标宋简体" w:cs="方正小标宋简体"/>
      <w:kern w:val="2"/>
      <w:sz w:val="36"/>
      <w:szCs w:val="36"/>
      <w:lang w:val="en-US" w:eastAsia="zh-CN"/>
    </w:rPr>
  </w:style>
  <w:style w:type="paragraph" w:customStyle="1" w:styleId="49">
    <w:name w:val="CEE正文"/>
    <w:basedOn w:val="1"/>
    <w:link w:val="65"/>
    <w:qFormat/>
    <w:uiPriority w:val="99"/>
    <w:pPr>
      <w:spacing w:line="360" w:lineRule="auto"/>
    </w:pPr>
    <w:rPr>
      <w:kern w:val="0"/>
      <w:sz w:val="24"/>
      <w:szCs w:val="24"/>
    </w:rPr>
  </w:style>
  <w:style w:type="paragraph" w:customStyle="1" w:styleId="50">
    <w:name w:val="p0"/>
    <w:basedOn w:val="1"/>
    <w:qFormat/>
    <w:uiPriority w:val="99"/>
    <w:pPr>
      <w:widowControl/>
    </w:pPr>
    <w:rPr>
      <w:kern w:val="0"/>
    </w:rPr>
  </w:style>
  <w:style w:type="paragraph" w:customStyle="1" w:styleId="51">
    <w:name w:val="默认段落字体 Para Char Char Char Char"/>
    <w:basedOn w:val="1"/>
    <w:qFormat/>
    <w:uiPriority w:val="99"/>
    <w:pPr>
      <w:spacing w:line="360" w:lineRule="auto"/>
    </w:pPr>
    <w:rPr>
      <w:rFonts w:ascii="宋体" w:cs="宋体"/>
      <w:sz w:val="24"/>
      <w:szCs w:val="24"/>
    </w:rPr>
  </w:style>
  <w:style w:type="paragraph" w:customStyle="1" w:styleId="52">
    <w:name w:val="我的表格"/>
    <w:basedOn w:val="1"/>
    <w:qFormat/>
    <w:uiPriority w:val="99"/>
    <w:pPr>
      <w:autoSpaceDE w:val="0"/>
      <w:autoSpaceDN w:val="0"/>
      <w:adjustRightInd w:val="0"/>
      <w:jc w:val="center"/>
    </w:pPr>
    <w:rPr>
      <w:kern w:val="0"/>
    </w:rPr>
  </w:style>
  <w:style w:type="paragraph" w:customStyle="1" w:styleId="53">
    <w:name w:val="表文字"/>
    <w:basedOn w:val="1"/>
    <w:link w:val="66"/>
    <w:qFormat/>
    <w:uiPriority w:val="99"/>
    <w:pPr>
      <w:topLinePunct/>
      <w:adjustRightInd w:val="0"/>
      <w:spacing w:line="240" w:lineRule="exact"/>
      <w:textAlignment w:val="baseline"/>
    </w:pPr>
    <w:rPr>
      <w:rFonts w:eastAsia="汉鼎简书宋"/>
    </w:rPr>
  </w:style>
  <w:style w:type="paragraph" w:customStyle="1" w:styleId="54">
    <w:name w:val="默认段落字体 Para Char Char Char Char Char Char Char"/>
    <w:basedOn w:val="1"/>
    <w:qFormat/>
    <w:uiPriority w:val="99"/>
  </w:style>
  <w:style w:type="paragraph" w:customStyle="1" w:styleId="55">
    <w:name w:val="正文2"/>
    <w:basedOn w:val="1"/>
    <w:link w:val="64"/>
    <w:qFormat/>
    <w:uiPriority w:val="99"/>
    <w:pPr>
      <w:snapToGrid w:val="0"/>
      <w:spacing w:line="500" w:lineRule="atLeast"/>
      <w:ind w:firstLine="567"/>
    </w:pPr>
    <w:rPr>
      <w:sz w:val="24"/>
      <w:szCs w:val="24"/>
    </w:rPr>
  </w:style>
  <w:style w:type="paragraph" w:customStyle="1" w:styleId="56">
    <w:name w:val="公文标题格式"/>
    <w:basedOn w:val="1"/>
    <w:qFormat/>
    <w:uiPriority w:val="99"/>
    <w:pPr>
      <w:spacing w:line="620" w:lineRule="exact"/>
      <w:ind w:right="11" w:rightChars="11"/>
      <w:jc w:val="center"/>
    </w:pPr>
    <w:rPr>
      <w:rFonts w:ascii="方正小标宋简体" w:hAnsi="华文中宋" w:eastAsia="方正小标宋简体" w:cs="方正小标宋简体"/>
      <w:sz w:val="44"/>
      <w:szCs w:val="44"/>
    </w:rPr>
  </w:style>
  <w:style w:type="paragraph" w:customStyle="1" w:styleId="57">
    <w:name w:val="落款"/>
    <w:basedOn w:val="1"/>
    <w:link w:val="63"/>
    <w:qFormat/>
    <w:uiPriority w:val="99"/>
    <w:pPr>
      <w:tabs>
        <w:tab w:val="left" w:pos="8844"/>
      </w:tabs>
      <w:wordWrap w:val="0"/>
      <w:ind w:right="400" w:rightChars="400"/>
      <w:jc w:val="right"/>
    </w:pPr>
    <w:rPr>
      <w:rFonts w:ascii="仿宋_GB2312" w:hAnsi="宋体" w:eastAsia="仿宋_GB2312" w:cs="仿宋_GB2312"/>
      <w:sz w:val="32"/>
      <w:szCs w:val="32"/>
    </w:rPr>
  </w:style>
  <w:style w:type="paragraph" w:customStyle="1" w:styleId="58">
    <w:name w:val="陈光的正文"/>
    <w:basedOn w:val="1"/>
    <w:link w:val="62"/>
    <w:qFormat/>
    <w:uiPriority w:val="99"/>
    <w:pPr>
      <w:adjustRightInd w:val="0"/>
      <w:snapToGrid w:val="0"/>
      <w:spacing w:beforeLines="10" w:afterLines="10" w:line="360" w:lineRule="auto"/>
      <w:ind w:firstLine="560"/>
    </w:pPr>
    <w:rPr>
      <w:sz w:val="28"/>
      <w:szCs w:val="28"/>
    </w:rPr>
  </w:style>
  <w:style w:type="paragraph" w:customStyle="1" w:styleId="59">
    <w:name w:val="Default"/>
    <w:qFormat/>
    <w:uiPriority w:val="99"/>
    <w:pPr>
      <w:widowControl w:val="0"/>
      <w:autoSpaceDE w:val="0"/>
      <w:autoSpaceDN w:val="0"/>
      <w:adjustRightInd w:val="0"/>
    </w:pPr>
    <w:rPr>
      <w:rFonts w:ascii="隶书" w:hAnsi="Times New Roman" w:eastAsia="隶书" w:cs="隶书"/>
      <w:color w:val="000000"/>
      <w:sz w:val="24"/>
      <w:szCs w:val="24"/>
      <w:lang w:val="en-US" w:eastAsia="zh-CN" w:bidi="ar-SA"/>
    </w:rPr>
  </w:style>
  <w:style w:type="paragraph" w:customStyle="1" w:styleId="60">
    <w:name w:val="我的正文"/>
    <w:basedOn w:val="1"/>
    <w:qFormat/>
    <w:uiPriority w:val="99"/>
    <w:pPr>
      <w:spacing w:line="312" w:lineRule="auto"/>
    </w:pPr>
    <w:rPr>
      <w:sz w:val="24"/>
      <w:szCs w:val="24"/>
    </w:rPr>
  </w:style>
  <w:style w:type="character" w:customStyle="1" w:styleId="61">
    <w:name w:val="正文缩进 Char"/>
    <w:link w:val="6"/>
    <w:qFormat/>
    <w:uiPriority w:val="99"/>
    <w:rPr>
      <w:rFonts w:ascii="Times New Roman" w:hAnsi="Times New Roman" w:eastAsia="宋体" w:cs="Times New Roman"/>
      <w:kern w:val="2"/>
      <w:sz w:val="24"/>
      <w:szCs w:val="24"/>
    </w:rPr>
  </w:style>
  <w:style w:type="character" w:customStyle="1" w:styleId="62">
    <w:name w:val="陈光的正文 Char Char"/>
    <w:link w:val="58"/>
    <w:qFormat/>
    <w:uiPriority w:val="99"/>
    <w:rPr>
      <w:rFonts w:ascii="Times New Roman" w:hAnsi="Times New Roman" w:eastAsia="宋体" w:cs="Times New Roman"/>
      <w:kern w:val="2"/>
      <w:sz w:val="28"/>
      <w:szCs w:val="28"/>
    </w:rPr>
  </w:style>
  <w:style w:type="character" w:customStyle="1" w:styleId="63">
    <w:name w:val="落款 Char"/>
    <w:link w:val="57"/>
    <w:qFormat/>
    <w:uiPriority w:val="99"/>
    <w:rPr>
      <w:rFonts w:ascii="仿宋_GB2312" w:hAnsi="宋体" w:eastAsia="仿宋_GB2312" w:cs="仿宋_GB2312"/>
      <w:kern w:val="2"/>
      <w:sz w:val="32"/>
      <w:szCs w:val="32"/>
      <w:lang w:val="en-US" w:eastAsia="zh-CN"/>
    </w:rPr>
  </w:style>
  <w:style w:type="character" w:customStyle="1" w:styleId="64">
    <w:name w:val="正文2 Char Char"/>
    <w:link w:val="55"/>
    <w:qFormat/>
    <w:uiPriority w:val="99"/>
    <w:rPr>
      <w:rFonts w:ascii="Times New Roman" w:hAnsi="Times New Roman" w:eastAsia="宋体" w:cs="Times New Roman"/>
      <w:kern w:val="2"/>
      <w:sz w:val="24"/>
      <w:szCs w:val="24"/>
      <w:lang w:val="en-US" w:eastAsia="zh-CN"/>
    </w:rPr>
  </w:style>
  <w:style w:type="character" w:customStyle="1" w:styleId="65">
    <w:name w:val="CEE正文 Char"/>
    <w:link w:val="49"/>
    <w:qFormat/>
    <w:uiPriority w:val="99"/>
    <w:rPr>
      <w:rFonts w:ascii="Times New Roman" w:hAnsi="Times New Roman" w:eastAsia="宋体" w:cs="Times New Roman"/>
      <w:sz w:val="24"/>
      <w:szCs w:val="24"/>
    </w:rPr>
  </w:style>
  <w:style w:type="character" w:customStyle="1" w:styleId="66">
    <w:name w:val="表文字 Char"/>
    <w:link w:val="53"/>
    <w:qFormat/>
    <w:uiPriority w:val="99"/>
    <w:rPr>
      <w:rFonts w:ascii="Times New Roman" w:hAnsi="Times New Roman" w:eastAsia="汉鼎简书宋" w:cs="Times New Roman"/>
      <w:kern w:val="2"/>
      <w:sz w:val="21"/>
      <w:szCs w:val="21"/>
      <w:lang w:val="en-US" w:eastAsia="zh-CN"/>
    </w:rPr>
  </w:style>
  <w:style w:type="paragraph" w:customStyle="1" w:styleId="67">
    <w:name w:val="普通(网站)1"/>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68">
    <w:name w:val="普通(网站)2"/>
    <w:basedOn w:val="1"/>
    <w:qFormat/>
    <w:uiPriority w:val="99"/>
    <w:pPr>
      <w:widowControl/>
      <w:spacing w:before="100" w:beforeAutospacing="1" w:after="100" w:afterAutospacing="1"/>
      <w:jc w:val="left"/>
    </w:pPr>
    <w:rPr>
      <w:rFonts w:ascii="宋体" w:hAnsi="宋体" w:cs="宋体"/>
      <w:kern w:val="0"/>
      <w:sz w:val="24"/>
      <w:szCs w:val="24"/>
    </w:rPr>
  </w:style>
  <w:style w:type="paragraph" w:styleId="69">
    <w:name w:val="List Paragraph"/>
    <w:basedOn w:val="1"/>
    <w:qFormat/>
    <w:uiPriority w:val="99"/>
    <w:pPr>
      <w:ind w:firstLine="420" w:firstLineChars="200"/>
    </w:pPr>
  </w:style>
  <w:style w:type="paragraph" w:customStyle="1" w:styleId="70">
    <w:name w:val="文字描述"/>
    <w:basedOn w:val="1"/>
    <w:qFormat/>
    <w:uiPriority w:val="99"/>
    <w:pPr>
      <w:adjustRightInd w:val="0"/>
      <w:snapToGrid w:val="0"/>
      <w:spacing w:line="360" w:lineRule="auto"/>
      <w:ind w:firstLine="200" w:firstLineChars="200"/>
    </w:pPr>
    <w:rPr>
      <w:spacing w:val="-2"/>
      <w:sz w:val="24"/>
      <w:szCs w:val="24"/>
    </w:rPr>
  </w:style>
  <w:style w:type="character" w:customStyle="1" w:styleId="71">
    <w:name w:val="批注主题 Char"/>
    <w:link w:val="20"/>
    <w:qFormat/>
    <w:uiPriority w:val="99"/>
    <w:rPr>
      <w:b/>
      <w:bCs/>
      <w:kern w:val="2"/>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HaoXiTong.com</Company>
  <Pages>3</Pages>
  <Words>248</Words>
  <Characters>1418</Characters>
  <Lines>11</Lines>
  <Paragraphs>3</Paragraphs>
  <TotalTime>17</TotalTime>
  <ScaleCrop>false</ScaleCrop>
  <LinksUpToDate>false</LinksUpToDate>
  <CharactersWithSpaces>1663</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2020-02-19T10:05:00Z</dcterms:created>
  <dc:creator>Administrator</dc:creator>
  <cp:lastModifiedBy>环保管家</cp:lastModifiedBy>
  <cp:lastPrinted>2017-12-23T10:27:00Z</cp:lastPrinted>
  <dcterms:modified xsi:type="dcterms:W3CDTF">2020-06-18T06:17:04Z</dcterms:modified>
  <dc:title>湛江奥里油发电厂（2×600兆瓦）油改煤工程</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