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0"/>
        <w:rPr>
          <w:rFonts w:hint="eastAsia" w:ascii="宋体" w:hAnsi="宋体" w:eastAsia="宋体" w:cs="Times New Roman"/>
          <w:b/>
          <w:bCs w:val="0"/>
          <w:snapToGrid w:val="0"/>
          <w:color w:val="000000"/>
          <w:kern w:val="0"/>
          <w:sz w:val="36"/>
          <w:szCs w:val="36"/>
          <w:highlight w:val="none"/>
          <w:lang w:eastAsia="zh-CN"/>
        </w:rPr>
      </w:pPr>
      <w:r>
        <w:rPr>
          <w:rFonts w:hint="eastAsia" w:ascii="宋体" w:hAnsi="宋体" w:eastAsia="宋体" w:cs="Times New Roman"/>
          <w:b/>
          <w:bCs w:val="0"/>
          <w:snapToGrid w:val="0"/>
          <w:color w:val="000000"/>
          <w:kern w:val="0"/>
          <w:sz w:val="36"/>
          <w:szCs w:val="36"/>
          <w:highlight w:val="none"/>
          <w:lang w:eastAsia="zh-CN"/>
        </w:rPr>
        <w:t>平度市大超康润生猪养殖场</w:t>
      </w:r>
    </w:p>
    <w:p>
      <w:pPr>
        <w:pStyle w:val="19"/>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eastAsia" w:ascii="宋体" w:hAnsi="宋体" w:eastAsia="宋体" w:cs="Times New Roman"/>
          <w:b/>
          <w:bCs w:val="0"/>
          <w:snapToGrid w:val="0"/>
          <w:color w:val="000000"/>
          <w:kern w:val="0"/>
          <w:sz w:val="36"/>
          <w:szCs w:val="36"/>
          <w:highlight w:val="none"/>
          <w:lang w:eastAsia="zh-CN"/>
        </w:rPr>
      </w:pPr>
      <w:r>
        <w:rPr>
          <w:rFonts w:hint="eastAsia" w:ascii="宋体" w:hAnsi="宋体" w:eastAsia="宋体" w:cs="Times New Roman"/>
          <w:b/>
          <w:bCs w:val="0"/>
          <w:snapToGrid w:val="0"/>
          <w:color w:val="000000"/>
          <w:kern w:val="0"/>
          <w:sz w:val="36"/>
          <w:szCs w:val="36"/>
          <w:highlight w:val="none"/>
          <w:lang w:eastAsia="zh-CN"/>
        </w:rPr>
        <w:t>年出栏6000头育肥猪项目</w:t>
      </w:r>
      <w:r>
        <w:rPr>
          <w:rFonts w:hint="default" w:ascii="Times New Roman" w:hAnsi="Times New Roman" w:cs="Times New Roman"/>
          <w:b/>
          <w:bCs w:val="0"/>
          <w:snapToGrid w:val="0"/>
          <w:color w:val="000000"/>
          <w:kern w:val="0"/>
          <w:sz w:val="36"/>
          <w:szCs w:val="36"/>
          <w:highlight w:val="none"/>
          <w:lang w:val="en-US" w:eastAsia="zh-CN"/>
        </w:rPr>
        <w:t>（</w:t>
      </w:r>
      <w:r>
        <w:rPr>
          <w:rFonts w:hint="default" w:ascii="宋体" w:hAnsi="宋体" w:eastAsia="宋体" w:cs="Times New Roman"/>
          <w:b/>
          <w:bCs w:val="0"/>
          <w:snapToGrid w:val="0"/>
          <w:color w:val="000000"/>
          <w:kern w:val="0"/>
          <w:sz w:val="36"/>
          <w:szCs w:val="36"/>
          <w:highlight w:val="none"/>
          <w:lang w:val="en-US" w:eastAsia="zh-CN"/>
        </w:rPr>
        <w:t>一期</w:t>
      </w:r>
      <w:r>
        <w:rPr>
          <w:rFonts w:hint="default" w:ascii="Times New Roman" w:hAnsi="Times New Roman" w:cs="Times New Roman"/>
          <w:b/>
          <w:bCs w:val="0"/>
          <w:snapToGrid w:val="0"/>
          <w:color w:val="000000"/>
          <w:kern w:val="0"/>
          <w:sz w:val="36"/>
          <w:szCs w:val="36"/>
          <w:highlight w:val="none"/>
          <w:lang w:val="en-US" w:eastAsia="zh-CN"/>
        </w:rPr>
        <w:t>）</w:t>
      </w:r>
    </w:p>
    <w:p>
      <w:pPr>
        <w:pStyle w:val="19"/>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0"/>
        <w:rPr>
          <w:rFonts w:hint="eastAsia" w:ascii="宋体" w:hAnsi="宋体" w:eastAsia="宋体" w:cs="Times New Roman"/>
          <w:b/>
          <w:bCs w:val="0"/>
          <w:snapToGrid w:val="0"/>
          <w:color w:val="000000"/>
          <w:kern w:val="0"/>
          <w:sz w:val="36"/>
          <w:szCs w:val="36"/>
          <w:highlight w:val="none"/>
        </w:rPr>
      </w:pPr>
      <w:r>
        <w:rPr>
          <w:rFonts w:hint="eastAsia" w:ascii="宋体" w:hAnsi="宋体" w:eastAsia="宋体" w:cs="Times New Roman"/>
          <w:b/>
          <w:bCs w:val="0"/>
          <w:snapToGrid w:val="0"/>
          <w:color w:val="000000"/>
          <w:kern w:val="0"/>
          <w:sz w:val="36"/>
          <w:szCs w:val="36"/>
          <w:highlight w:val="none"/>
        </w:rPr>
        <w:t>竣工环境保护验收意见</w:t>
      </w:r>
    </w:p>
    <w:p>
      <w:pPr>
        <w:pStyle w:val="2"/>
        <w:ind w:left="0" w:leftChars="0" w:firstLine="0" w:firstLineChars="0"/>
        <w:jc w:val="center"/>
        <w:rPr>
          <w:color w:val="000000"/>
          <w:highlight w:val="none"/>
        </w:rPr>
      </w:pP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snapToGrid w:val="0"/>
          <w:color w:val="000000"/>
          <w:kern w:val="0"/>
          <w:sz w:val="24"/>
          <w:szCs w:val="24"/>
          <w:highlight w:val="none"/>
        </w:rPr>
      </w:pPr>
      <w:bookmarkStart w:id="0" w:name="_GoBack"/>
      <w:r>
        <w:rPr>
          <w:rFonts w:ascii="Times New Roman" w:hAnsi="Times New Roman" w:eastAsia="宋体" w:cs="Times New Roman"/>
          <w:bCs w:val="0"/>
          <w:snapToGrid w:val="0"/>
          <w:color w:val="000000"/>
          <w:kern w:val="0"/>
          <w:sz w:val="24"/>
          <w:szCs w:val="24"/>
          <w:highlight w:val="none"/>
        </w:rPr>
        <w:t>20</w:t>
      </w:r>
      <w:r>
        <w:rPr>
          <w:rFonts w:hint="eastAsia" w:ascii="Times New Roman" w:hAnsi="Times New Roman" w:eastAsia="宋体" w:cs="Times New Roman"/>
          <w:bCs w:val="0"/>
          <w:snapToGrid w:val="0"/>
          <w:color w:val="000000"/>
          <w:kern w:val="0"/>
          <w:sz w:val="24"/>
          <w:szCs w:val="24"/>
          <w:highlight w:val="none"/>
        </w:rPr>
        <w:t>2</w:t>
      </w:r>
      <w:r>
        <w:rPr>
          <w:rFonts w:hint="default" w:ascii="Times New Roman" w:hAnsi="Times New Roman" w:eastAsia="宋体" w:cs="Times New Roman"/>
          <w:bCs w:val="0"/>
          <w:snapToGrid w:val="0"/>
          <w:color w:val="000000"/>
          <w:kern w:val="0"/>
          <w:sz w:val="24"/>
          <w:szCs w:val="24"/>
          <w:highlight w:val="none"/>
          <w:lang w:val="en-US"/>
        </w:rPr>
        <w:t>2</w:t>
      </w:r>
      <w:r>
        <w:rPr>
          <w:rFonts w:ascii="Times New Roman" w:hAnsi="Times New Roman" w:eastAsia="宋体" w:cs="Times New Roman"/>
          <w:bCs w:val="0"/>
          <w:snapToGrid w:val="0"/>
          <w:color w:val="000000"/>
          <w:kern w:val="0"/>
          <w:sz w:val="24"/>
          <w:szCs w:val="24"/>
          <w:highlight w:val="none"/>
        </w:rPr>
        <w:t>年</w:t>
      </w:r>
      <w:r>
        <w:rPr>
          <w:rFonts w:hint="eastAsia" w:cs="Times New Roman"/>
          <w:bCs w:val="0"/>
          <w:snapToGrid w:val="0"/>
          <w:color w:val="000000"/>
          <w:kern w:val="0"/>
          <w:sz w:val="24"/>
          <w:szCs w:val="24"/>
          <w:highlight w:val="none"/>
          <w:lang w:val="en-US" w:eastAsia="zh-CN"/>
        </w:rPr>
        <w:t>9</w:t>
      </w:r>
      <w:r>
        <w:rPr>
          <w:rFonts w:ascii="Times New Roman" w:hAnsi="Times New Roman" w:eastAsia="宋体" w:cs="Times New Roman"/>
          <w:bCs w:val="0"/>
          <w:snapToGrid w:val="0"/>
          <w:color w:val="000000"/>
          <w:kern w:val="0"/>
          <w:sz w:val="24"/>
          <w:szCs w:val="24"/>
          <w:highlight w:val="none"/>
        </w:rPr>
        <w:t>月</w:t>
      </w:r>
      <w:r>
        <w:rPr>
          <w:rFonts w:hint="eastAsia" w:cs="Times New Roman"/>
          <w:bCs w:val="0"/>
          <w:snapToGrid w:val="0"/>
          <w:color w:val="000000"/>
          <w:kern w:val="0"/>
          <w:sz w:val="24"/>
          <w:szCs w:val="24"/>
          <w:highlight w:val="none"/>
          <w:lang w:val="en-US" w:eastAsia="zh-CN"/>
        </w:rPr>
        <w:t>23</w:t>
      </w:r>
      <w:r>
        <w:rPr>
          <w:rFonts w:ascii="Times New Roman" w:hAnsi="Times New Roman" w:eastAsia="宋体" w:cs="Times New Roman"/>
          <w:bCs w:val="0"/>
          <w:snapToGrid w:val="0"/>
          <w:color w:val="000000"/>
          <w:kern w:val="0"/>
          <w:sz w:val="24"/>
          <w:szCs w:val="24"/>
          <w:highlight w:val="none"/>
        </w:rPr>
        <w:t>日，</w:t>
      </w:r>
      <w:r>
        <w:rPr>
          <w:rFonts w:hint="eastAsia" w:cs="Times New Roman"/>
          <w:bCs w:val="0"/>
          <w:snapToGrid w:val="0"/>
          <w:color w:val="000000"/>
          <w:kern w:val="0"/>
          <w:sz w:val="24"/>
          <w:szCs w:val="24"/>
          <w:highlight w:val="none"/>
          <w:lang w:eastAsia="zh-CN"/>
        </w:rPr>
        <w:t>平度市大超康润生猪养殖场</w:t>
      </w:r>
      <w:r>
        <w:rPr>
          <w:rFonts w:ascii="Times New Roman" w:hAnsi="Times New Roman" w:eastAsia="宋体" w:cs="Times New Roman"/>
          <w:bCs w:val="0"/>
          <w:snapToGrid w:val="0"/>
          <w:color w:val="000000"/>
          <w:kern w:val="0"/>
          <w:sz w:val="24"/>
          <w:szCs w:val="24"/>
          <w:highlight w:val="none"/>
        </w:rPr>
        <w:t>根据</w:t>
      </w:r>
      <w:r>
        <w:rPr>
          <w:rFonts w:hint="eastAsia" w:cs="Times New Roman"/>
          <w:bCs w:val="0"/>
          <w:snapToGrid w:val="0"/>
          <w:color w:val="000000"/>
          <w:kern w:val="0"/>
          <w:sz w:val="24"/>
          <w:szCs w:val="24"/>
          <w:highlight w:val="none"/>
          <w:lang w:eastAsia="zh-CN"/>
        </w:rPr>
        <w:t>“年出栏6000头育肥猪项目</w:t>
      </w:r>
      <w:r>
        <w:rPr>
          <w:rFonts w:hint="default" w:cs="Times New Roman"/>
          <w:bCs w:val="0"/>
          <w:snapToGrid w:val="0"/>
          <w:color w:val="000000"/>
          <w:kern w:val="0"/>
          <w:sz w:val="24"/>
          <w:szCs w:val="24"/>
          <w:highlight w:val="none"/>
          <w:lang w:val="en-US" w:eastAsia="zh-CN"/>
        </w:rPr>
        <w:t>（一期）</w:t>
      </w:r>
      <w:r>
        <w:rPr>
          <w:rFonts w:hint="eastAsia" w:cs="Times New Roman"/>
          <w:bCs w:val="0"/>
          <w:snapToGrid w:val="0"/>
          <w:color w:val="000000"/>
          <w:kern w:val="0"/>
          <w:sz w:val="24"/>
          <w:szCs w:val="24"/>
          <w:highlight w:val="none"/>
          <w:lang w:eastAsia="zh-CN"/>
        </w:rPr>
        <w:t>”</w:t>
      </w:r>
      <w:r>
        <w:rPr>
          <w:rFonts w:ascii="Times New Roman" w:hAnsi="Times New Roman" w:eastAsia="宋体" w:cs="Times New Roman"/>
          <w:bCs w:val="0"/>
          <w:snapToGrid w:val="0"/>
          <w:color w:val="000000"/>
          <w:kern w:val="0"/>
          <w:sz w:val="24"/>
          <w:szCs w:val="24"/>
          <w:highlight w:val="none"/>
        </w:rPr>
        <w:t>竣工环境保护验收监测报告，并对照《建设项目竣工环境保护验收暂行办法》，严格依照国家有关法律法规、建设项目竣工环境保护验收技术规范/指南、本项目环境影响报告书和审批部门审批决定等要求，对本项目进行验收，</w:t>
      </w:r>
      <w:r>
        <w:rPr>
          <w:rFonts w:hint="eastAsia" w:ascii="Times New Roman" w:hAnsi="Times New Roman" w:eastAsia="宋体" w:cs="Times New Roman"/>
          <w:bCs w:val="0"/>
          <w:snapToGrid w:val="0"/>
          <w:color w:val="000000"/>
          <w:kern w:val="0"/>
          <w:sz w:val="24"/>
          <w:szCs w:val="24"/>
          <w:highlight w:val="none"/>
        </w:rPr>
        <w:t>形成</w:t>
      </w:r>
      <w:r>
        <w:rPr>
          <w:rFonts w:ascii="Times New Roman" w:hAnsi="Times New Roman" w:eastAsia="宋体" w:cs="Times New Roman"/>
          <w:bCs w:val="0"/>
          <w:snapToGrid w:val="0"/>
          <w:color w:val="000000"/>
          <w:kern w:val="0"/>
          <w:sz w:val="24"/>
          <w:szCs w:val="24"/>
          <w:highlight w:val="none"/>
        </w:rPr>
        <w:t>意见如下：</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一、项目基本情况</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（一）建设地点、规模、主要建设内容</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cs="Times New Roman"/>
          <w:bCs w:val="0"/>
          <w:snapToGrid w:val="0"/>
          <w:color w:val="000000"/>
          <w:kern w:val="0"/>
          <w:sz w:val="24"/>
          <w:szCs w:val="24"/>
          <w:highlight w:val="none"/>
          <w:lang w:eastAsia="zh-CN"/>
        </w:rPr>
      </w:pPr>
      <w:r>
        <w:rPr>
          <w:rFonts w:hint="eastAsia" w:cs="Times New Roman"/>
          <w:bCs w:val="0"/>
          <w:snapToGrid w:val="0"/>
          <w:color w:val="000000"/>
          <w:kern w:val="0"/>
          <w:sz w:val="24"/>
          <w:szCs w:val="24"/>
          <w:highlight w:val="none"/>
          <w:lang w:eastAsia="zh-CN"/>
        </w:rPr>
        <w:t>平度市大超康润生猪养殖场年出栏6000头育肥猪项目位于平度市李园街道办韩家庄村西北，项目东侧为农田；南侧为农田；西侧为农田；北侧为农田。总投资600万元，其中环保投资40万元，项目占地面积11787m2，规划建筑面积5670.5m2，购置国产设备1002台，场内不饲养种猪、母猪，仅进行育肥。劳动定员10人，年工作天数350天，饲养期间三班制，空栏消毒期间一班制，每班工作8h。建成后年出栏6000头育肥猪。</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（二）建设过程及环保审批情况</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2021年10月，受我公司委托，青岛津宜兰环境咨询服务有限公司对项目进行了环境影响评价，编制完成了《平度市大超康润生猪养殖场年出栏6000头育肥猪项目环境影响报告书》。</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2021年10月27日，以平环承诺审〔2021〕6号文取得《青岛市生态环境局平度分局关于平度市大超康润生猪养殖场年出栏6000头育肥猪项目环境影响评价文件告知承诺审批的意见》。</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2022年4月21日，企业变更固定污染源排污许可登记，登记编号：92370283MA3U5T8074001X。</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（三）投资情况</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项目总投资600万元，其中环保投资40万元，环保投资占项目总投资的6.7%。</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w:t>
      </w:r>
      <w:r>
        <w:rPr>
          <w:rFonts w:hint="eastAsia" w:cs="Times New Roman"/>
          <w:bCs w:val="0"/>
          <w:snapToGrid w:val="0"/>
          <w:color w:val="000000"/>
          <w:kern w:val="0"/>
          <w:sz w:val="24"/>
          <w:szCs w:val="24"/>
          <w:highlight w:val="none"/>
          <w:lang w:val="en-US" w:eastAsia="zh-CN"/>
        </w:rPr>
        <w:t>四</w:t>
      </w:r>
      <w:r>
        <w:rPr>
          <w:rFonts w:ascii="Times New Roman" w:hAnsi="Times New Roman" w:eastAsia="宋体" w:cs="Times New Roman"/>
          <w:bCs w:val="0"/>
          <w:snapToGrid w:val="0"/>
          <w:color w:val="000000"/>
          <w:kern w:val="0"/>
          <w:sz w:val="24"/>
          <w:szCs w:val="24"/>
          <w:highlight w:val="none"/>
        </w:rPr>
        <w:t>）</w:t>
      </w:r>
      <w:r>
        <w:rPr>
          <w:rFonts w:hint="eastAsia" w:cs="Times New Roman"/>
          <w:bCs w:val="0"/>
          <w:snapToGrid w:val="0"/>
          <w:color w:val="000000"/>
          <w:kern w:val="0"/>
          <w:sz w:val="24"/>
          <w:szCs w:val="24"/>
          <w:highlight w:val="none"/>
          <w:lang w:val="en-US" w:eastAsia="zh-CN"/>
        </w:rPr>
        <w:t>验收范围</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lang w:val="en-US"/>
        </w:rPr>
        <w:t>本次验收范围为</w:t>
      </w:r>
      <w:r>
        <w:rPr>
          <w:rFonts w:hint="eastAsia" w:ascii="Times New Roman" w:hAnsi="Times New Roman" w:eastAsia="宋体" w:cs="Times New Roman"/>
          <w:bCs w:val="0"/>
          <w:snapToGrid w:val="0"/>
          <w:color w:val="000000"/>
          <w:kern w:val="0"/>
          <w:sz w:val="24"/>
          <w:szCs w:val="24"/>
          <w:highlight w:val="none"/>
        </w:rPr>
        <w:t>项目</w:t>
      </w:r>
      <w:r>
        <w:rPr>
          <w:rFonts w:hint="default" w:ascii="Times New Roman" w:hAnsi="Times New Roman" w:eastAsia="宋体" w:cs="Times New Roman"/>
          <w:bCs w:val="0"/>
          <w:snapToGrid w:val="0"/>
          <w:color w:val="000000"/>
          <w:kern w:val="0"/>
          <w:sz w:val="24"/>
          <w:szCs w:val="24"/>
          <w:highlight w:val="none"/>
          <w:lang w:val="en-US"/>
        </w:rPr>
        <w:t>已建成一期建设内容。因季节原因取暖炉尚未使用</w:t>
      </w:r>
      <w:r>
        <w:rPr>
          <w:rFonts w:hint="eastAsia" w:ascii="Times New Roman" w:hAnsi="Times New Roman" w:eastAsia="宋体" w:cs="Times New Roman"/>
          <w:bCs w:val="0"/>
          <w:snapToGrid w:val="0"/>
          <w:color w:val="000000"/>
          <w:kern w:val="0"/>
          <w:sz w:val="24"/>
          <w:szCs w:val="24"/>
          <w:highlight w:val="none"/>
        </w:rPr>
        <w:t>。</w:t>
      </w:r>
      <w:r>
        <w:rPr>
          <w:rFonts w:hint="default" w:ascii="Times New Roman" w:hAnsi="Times New Roman" w:eastAsia="宋体" w:cs="Times New Roman"/>
          <w:bCs w:val="0"/>
          <w:snapToGrid w:val="0"/>
          <w:color w:val="000000"/>
          <w:kern w:val="0"/>
          <w:sz w:val="24"/>
          <w:szCs w:val="24"/>
          <w:highlight w:val="none"/>
          <w:lang w:val="en-US"/>
        </w:rPr>
        <w:t>后续建成后另行办理竣工环保验收</w:t>
      </w:r>
      <w:r>
        <w:rPr>
          <w:rFonts w:hint="default" w:ascii="Times New Roman" w:hAnsi="Times New Roman" w:cs="Times New Roman"/>
          <w:bCs w:val="0"/>
          <w:snapToGrid w:val="0"/>
          <w:color w:val="000000"/>
          <w:kern w:val="0"/>
          <w:sz w:val="24"/>
          <w:szCs w:val="24"/>
          <w:highlight w:val="none"/>
          <w:lang w:val="en-US"/>
        </w:rPr>
        <w:t>。</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二、项目变动情况</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lang w:val="en-US"/>
        </w:rPr>
        <w:t>项目一期</w:t>
      </w:r>
      <w:r>
        <w:rPr>
          <w:rFonts w:hint="eastAsia" w:ascii="Times New Roman" w:hAnsi="Times New Roman" w:eastAsia="宋体" w:cs="Times New Roman"/>
          <w:bCs w:val="0"/>
          <w:snapToGrid w:val="0"/>
          <w:color w:val="000000"/>
          <w:kern w:val="0"/>
          <w:sz w:val="24"/>
          <w:szCs w:val="24"/>
          <w:highlight w:val="none"/>
        </w:rPr>
        <w:t>建设内容与环评一致，无变动。</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三、环境保护设施建设情况</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（一）废水</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液体粪污(猪尿、猪舍冲洗废水及生活污水)全部进入场内粪污处理系统，先经粪污池进行水质水量调节，后经螺旋挤压式固液分离机固液分离后，分离液经管道密闭输送至沼气工程区黑膜厌氧发酵池进行厌氧发酵处理，产生的沼液还田综合利用，不外排。</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本项目已对沼气池、干粪间、危废间、管道等进行重点防渗；仓库等进行一般防渗，道路、生活区域、绿化区等采用一般地面硬化处理。</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（二）废气</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育肥舍养殖恶臭：猪舍养殖恶臭：主要来源于养殖猪舍，采用生物酶除臭剂抑臭。通过选用优质易消化的膨化饲料原料、添加益生素等来提高饲料的消化率和转化率来减低排污量；猪舍进风系统采用过滤后的洁净空气，通过自动环境控制系统、自动喷雾消毒系统等有效降低空气中的尘埃、氨气浓度和杀灭病原微生物；加强猪舍通排风系统的通风换气，猪舍周围定期喷洒植物型生物酶除臭剂并种植绿化植物。</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干粪间恶臭：干粪间密闭，周围喷洒植物型除臭剂，周围种植绿化植物，最大限度减少恶臭气体排放。堆放过程渗出的废水通过管道收集返回沼气池中。</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沼液池恶臭：沼液已经过厌氧发酵处理，沼液贮存过中产生的恶臭气体浓度较低，沼液池为密闭结构，底部铺设黑膜</w:t>
      </w:r>
      <w:r>
        <w:rPr>
          <w:rFonts w:hint="default" w:ascii="Times New Roman" w:hAnsi="Times New Roman" w:eastAsia="宋体" w:cs="Times New Roman"/>
          <w:bCs w:val="0"/>
          <w:snapToGrid w:val="0"/>
          <w:color w:val="000000"/>
          <w:kern w:val="0"/>
          <w:sz w:val="24"/>
          <w:szCs w:val="24"/>
          <w:highlight w:val="none"/>
          <w:lang w:val="en-US"/>
        </w:rPr>
        <w:t>防渗</w:t>
      </w:r>
      <w:r>
        <w:rPr>
          <w:rFonts w:hint="eastAsia" w:ascii="Times New Roman" w:hAnsi="Times New Roman" w:eastAsia="宋体" w:cs="Times New Roman"/>
          <w:bCs w:val="0"/>
          <w:snapToGrid w:val="0"/>
          <w:color w:val="000000"/>
          <w:kern w:val="0"/>
          <w:sz w:val="24"/>
          <w:szCs w:val="24"/>
          <w:highlight w:val="none"/>
        </w:rPr>
        <w:t>，池体上方覆盖HDPE膜进行全密封，通过在沼液池周边加强绿化等措施，使其对周围环境的影响降至最低。</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企业通过加强管理，加强绿化、通风等降低对环境的影响。</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（三）噪声</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生产过程中噪声主要来源于通风设备、湿帘系统、水泵、刮粪机、螺旋输送机等设备运行噪声，以及猪舍内猪叫等，噪声值约为60~90dB(A)。夜间猪只处于休眠状态，无需饲养喂食等，夜间仅有通风设施、供热装置运转，项目生产及设备运行噪声主要集中在白天。</w:t>
      </w:r>
      <w:r>
        <w:rPr>
          <w:rFonts w:hint="eastAsia" w:cs="Times New Roman"/>
          <w:bCs w:val="0"/>
          <w:snapToGrid w:val="0"/>
          <w:color w:val="000000"/>
          <w:kern w:val="0"/>
          <w:sz w:val="24"/>
          <w:szCs w:val="24"/>
          <w:highlight w:val="none"/>
          <w:lang w:val="en-US" w:eastAsia="zh-CN"/>
        </w:rPr>
        <w:t>企业针对运营加强管理，</w:t>
      </w:r>
      <w:r>
        <w:rPr>
          <w:rFonts w:hint="eastAsia" w:ascii="Times New Roman" w:hAnsi="Times New Roman" w:eastAsia="宋体" w:cs="Times New Roman"/>
          <w:bCs w:val="0"/>
          <w:snapToGrid w:val="0"/>
          <w:color w:val="000000"/>
          <w:kern w:val="0"/>
          <w:sz w:val="24"/>
          <w:szCs w:val="24"/>
          <w:highlight w:val="none"/>
        </w:rPr>
        <w:t>设备采取厂房隔声、基础减震等措施降低噪声的影响。</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（四）固废</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本项目固体废物主要包括猪粪、病死猪、沼渣、防疫废物、沼气净化脱硫废渣。</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2"/>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(1)猪粪</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项目猪舍内粪尿液由排粪沟排入粪污处理系统，经固液分离机干湿分离后的干粪堆放于干粪间，液体进入黑膜沼气池进行厌氧发酵，发酵后</w:t>
      </w:r>
      <w:r>
        <w:rPr>
          <w:rFonts w:hint="default" w:ascii="Times New Roman" w:hAnsi="Times New Roman" w:eastAsia="宋体" w:cs="Times New Roman"/>
          <w:bCs w:val="0"/>
          <w:snapToGrid w:val="0"/>
          <w:color w:val="000000"/>
          <w:kern w:val="0"/>
          <w:sz w:val="24"/>
          <w:szCs w:val="24"/>
          <w:highlight w:val="none"/>
          <w:lang w:val="en-US"/>
        </w:rPr>
        <w:t>的</w:t>
      </w:r>
      <w:r>
        <w:rPr>
          <w:rFonts w:hint="default" w:ascii="Times New Roman" w:hAnsi="Times New Roman" w:eastAsia="宋体" w:cs="Times New Roman"/>
          <w:b/>
          <w:bCs/>
          <w:snapToGrid w:val="0"/>
          <w:color w:val="000000"/>
          <w:kern w:val="0"/>
          <w:sz w:val="24"/>
          <w:szCs w:val="24"/>
          <w:highlight w:val="none"/>
          <w:lang w:val="en-US"/>
        </w:rPr>
        <w:t>沼渣</w:t>
      </w:r>
      <w:r>
        <w:rPr>
          <w:rFonts w:hint="eastAsia" w:ascii="Times New Roman" w:hAnsi="Times New Roman" w:eastAsia="宋体" w:cs="Times New Roman"/>
          <w:bCs w:val="0"/>
          <w:snapToGrid w:val="0"/>
          <w:color w:val="000000"/>
          <w:kern w:val="0"/>
          <w:sz w:val="24"/>
          <w:szCs w:val="24"/>
          <w:highlight w:val="none"/>
        </w:rPr>
        <w:t>作为有机肥料施肥于周边农田。</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2"/>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(2)病死猪</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病死猪</w:t>
      </w:r>
      <w:r>
        <w:rPr>
          <w:rFonts w:hint="default" w:ascii="Times New Roman" w:hAnsi="Times New Roman" w:eastAsia="宋体" w:cs="Times New Roman"/>
          <w:bCs w:val="0"/>
          <w:snapToGrid w:val="0"/>
          <w:color w:val="000000"/>
          <w:kern w:val="0"/>
          <w:sz w:val="24"/>
          <w:szCs w:val="24"/>
          <w:highlight w:val="none"/>
          <w:lang w:val="en-US"/>
        </w:rPr>
        <w:t>暂未产生。后续产生后</w:t>
      </w:r>
      <w:r>
        <w:rPr>
          <w:rFonts w:hint="eastAsia" w:ascii="Times New Roman" w:hAnsi="Times New Roman" w:eastAsia="宋体" w:cs="Times New Roman"/>
          <w:bCs w:val="0"/>
          <w:snapToGrid w:val="0"/>
          <w:color w:val="000000"/>
          <w:kern w:val="0"/>
          <w:sz w:val="24"/>
          <w:szCs w:val="24"/>
          <w:highlight w:val="none"/>
        </w:rPr>
        <w:t>暂存于场区病死猪暂存间，病死猪只在场内进行搬运，日产日清，由人工清运出猪舍，委托青岛双元生物环保科技有限公司进行处置。</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2"/>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(3)沼渣</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lang w:val="en-US"/>
        </w:rPr>
        <w:t>刚开始生产，</w:t>
      </w:r>
      <w:r>
        <w:rPr>
          <w:rFonts w:hint="eastAsia" w:ascii="Times New Roman" w:hAnsi="Times New Roman" w:eastAsia="宋体" w:cs="Times New Roman"/>
          <w:bCs w:val="0"/>
          <w:snapToGrid w:val="0"/>
          <w:color w:val="000000"/>
          <w:kern w:val="0"/>
          <w:sz w:val="24"/>
          <w:szCs w:val="24"/>
          <w:highlight w:val="none"/>
        </w:rPr>
        <w:t>沼渣</w:t>
      </w:r>
      <w:r>
        <w:rPr>
          <w:rFonts w:hint="default" w:ascii="Times New Roman" w:hAnsi="Times New Roman" w:eastAsia="宋体" w:cs="Times New Roman"/>
          <w:bCs w:val="0"/>
          <w:snapToGrid w:val="0"/>
          <w:color w:val="000000"/>
          <w:kern w:val="0"/>
          <w:sz w:val="24"/>
          <w:szCs w:val="24"/>
          <w:highlight w:val="none"/>
          <w:lang w:val="en-US"/>
        </w:rPr>
        <w:t>尚未产生。后续产生后</w:t>
      </w:r>
      <w:r>
        <w:rPr>
          <w:rFonts w:hint="eastAsia" w:ascii="Times New Roman" w:hAnsi="Times New Roman" w:eastAsia="宋体" w:cs="Times New Roman"/>
          <w:bCs w:val="0"/>
          <w:snapToGrid w:val="0"/>
          <w:color w:val="000000"/>
          <w:kern w:val="0"/>
          <w:sz w:val="24"/>
          <w:szCs w:val="24"/>
          <w:highlight w:val="none"/>
        </w:rPr>
        <w:t>定期清理，(4)防疫废物</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在猪只病疫防治过程产生的少量防疫废物，主要为检验用具及注射疫苗的玻璃瓶等，属于危险废物HW03(900-002-03)，暂存于危废暂存库，委托有资质单位处置。</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2"/>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(6)沼气净化脱硫废渣</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沼气净化装置脱硫器内填装脱硫剂主要为活性炭、Fe</w:t>
      </w:r>
      <w:r>
        <w:rPr>
          <w:rFonts w:hint="eastAsia" w:ascii="Times New Roman" w:hAnsi="Times New Roman" w:eastAsia="宋体" w:cs="Times New Roman"/>
          <w:bCs w:val="0"/>
          <w:snapToGrid w:val="0"/>
          <w:color w:val="000000"/>
          <w:kern w:val="0"/>
          <w:sz w:val="24"/>
          <w:szCs w:val="24"/>
          <w:highlight w:val="none"/>
          <w:vertAlign w:val="subscript"/>
        </w:rPr>
        <w:t>2</w:t>
      </w:r>
      <w:r>
        <w:rPr>
          <w:rFonts w:hint="eastAsia" w:ascii="Times New Roman" w:hAnsi="Times New Roman" w:eastAsia="宋体" w:cs="Times New Roman"/>
          <w:bCs w:val="0"/>
          <w:snapToGrid w:val="0"/>
          <w:color w:val="000000"/>
          <w:kern w:val="0"/>
          <w:sz w:val="24"/>
          <w:szCs w:val="24"/>
          <w:highlight w:val="none"/>
        </w:rPr>
        <w:t>O</w:t>
      </w:r>
      <w:r>
        <w:rPr>
          <w:rFonts w:hint="eastAsia" w:ascii="Times New Roman" w:hAnsi="Times New Roman" w:eastAsia="宋体" w:cs="Times New Roman"/>
          <w:bCs w:val="0"/>
          <w:snapToGrid w:val="0"/>
          <w:color w:val="000000"/>
          <w:kern w:val="0"/>
          <w:sz w:val="24"/>
          <w:szCs w:val="24"/>
          <w:highlight w:val="none"/>
          <w:vertAlign w:val="subscript"/>
        </w:rPr>
        <w:t>3</w:t>
      </w:r>
      <w:r>
        <w:rPr>
          <w:rFonts w:hint="eastAsia" w:ascii="Times New Roman" w:hAnsi="Times New Roman" w:eastAsia="宋体" w:cs="Times New Roman"/>
          <w:bCs w:val="0"/>
          <w:snapToGrid w:val="0"/>
          <w:color w:val="000000"/>
          <w:kern w:val="0"/>
          <w:sz w:val="24"/>
          <w:szCs w:val="24"/>
          <w:highlight w:val="none"/>
        </w:rPr>
        <w:t>，脱硫剂使用一段时间进行再生循环利用，约半年更换一次，属于一般工业固体废物，由相关单位回收。</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2"/>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(8)生活垃圾</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生活垃圾，由环卫部门定期清运。</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1"/>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（五）环境风险</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项目涉及的环境主要为柴油泄漏及泄漏后燃烧过程中产生的伴生/次生烟气等废气污染物进入大气、环保设施故障导致废气超标排放和猪舍火灾次生环境污染事故。针对存在的环境风险，企业安排专业技术人员负责环保设施的日常维护和管理，并对环保设施定期监测确保污染物稳定达标排放，猪舍配置灭火器等消防器材。同时，企业编制了《平度市大超康润生猪养殖场突发环境事件应急预案》，并在青岛市生态环境局平度分局进行备案（备案编号：370283-20220812-256-L）。</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四、环保措施调试效果</w:t>
      </w:r>
    </w:p>
    <w:bookmarkEnd w:id="0"/>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snapToGrid w:val="0"/>
          <w:color w:val="000000"/>
          <w:kern w:val="0"/>
          <w:sz w:val="24"/>
          <w:szCs w:val="24"/>
          <w:highlight w:val="none"/>
        </w:rPr>
      </w:pPr>
      <w:r>
        <w:rPr>
          <w:rFonts w:hint="eastAsia" w:cs="Times New Roman"/>
          <w:bCs w:val="0"/>
          <w:snapToGrid w:val="0"/>
          <w:color w:val="000000"/>
          <w:kern w:val="0"/>
          <w:sz w:val="24"/>
          <w:szCs w:val="24"/>
          <w:highlight w:val="none"/>
          <w:lang w:eastAsia="zh-CN"/>
        </w:rPr>
        <w:t>平度市大超康润生猪养殖场</w:t>
      </w:r>
      <w:r>
        <w:rPr>
          <w:rFonts w:ascii="Times New Roman" w:hAnsi="Times New Roman" w:eastAsia="宋体" w:cs="Times New Roman"/>
          <w:bCs w:val="0"/>
          <w:snapToGrid w:val="0"/>
          <w:color w:val="000000"/>
          <w:kern w:val="0"/>
          <w:sz w:val="24"/>
          <w:szCs w:val="24"/>
          <w:highlight w:val="none"/>
        </w:rPr>
        <w:t>验收监测报告表明，验收监测期间：</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color w:val="000000"/>
          <w:kern w:val="0"/>
          <w:sz w:val="24"/>
          <w:szCs w:val="24"/>
          <w:highlight w:val="none"/>
        </w:rPr>
        <w:t>1、</w:t>
      </w:r>
      <w:r>
        <w:rPr>
          <w:rFonts w:ascii="Times New Roman" w:hAnsi="Times New Roman" w:eastAsia="宋体" w:cs="Times New Roman"/>
          <w:bCs w:val="0"/>
          <w:snapToGrid w:val="0"/>
          <w:color w:val="000000"/>
          <w:kern w:val="0"/>
          <w:sz w:val="24"/>
          <w:szCs w:val="24"/>
          <w:highlight w:val="none"/>
        </w:rPr>
        <w:t>废气</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rPr>
      </w:pPr>
      <w:r>
        <w:rPr>
          <w:rFonts w:hint="eastAsia" w:ascii="Times New Roman" w:hAnsi="Times New Roman" w:eastAsia="宋体" w:cs="Times New Roman"/>
          <w:bCs w:val="0"/>
          <w:snapToGrid w:val="0"/>
          <w:color w:val="000000"/>
          <w:kern w:val="0"/>
          <w:sz w:val="24"/>
          <w:szCs w:val="24"/>
          <w:highlight w:val="none"/>
        </w:rPr>
        <w:t>无组织排放废气厂界监控点NH</w:t>
      </w:r>
      <w:r>
        <w:rPr>
          <w:rFonts w:hint="eastAsia" w:ascii="Times New Roman" w:hAnsi="Times New Roman" w:eastAsia="宋体" w:cs="Times New Roman"/>
          <w:bCs w:val="0"/>
          <w:snapToGrid w:val="0"/>
          <w:color w:val="000000"/>
          <w:kern w:val="0"/>
          <w:sz w:val="24"/>
          <w:szCs w:val="24"/>
          <w:highlight w:val="none"/>
          <w:vertAlign w:val="subscript"/>
        </w:rPr>
        <w:t>3</w:t>
      </w:r>
      <w:r>
        <w:rPr>
          <w:rFonts w:hint="eastAsia" w:ascii="Times New Roman" w:hAnsi="Times New Roman" w:eastAsia="宋体" w:cs="Times New Roman"/>
          <w:bCs w:val="0"/>
          <w:snapToGrid w:val="0"/>
          <w:color w:val="000000"/>
          <w:kern w:val="0"/>
          <w:sz w:val="24"/>
          <w:szCs w:val="24"/>
          <w:highlight w:val="none"/>
        </w:rPr>
        <w:t>、H</w:t>
      </w:r>
      <w:r>
        <w:rPr>
          <w:rFonts w:hint="eastAsia" w:ascii="Times New Roman" w:hAnsi="Times New Roman" w:eastAsia="宋体" w:cs="Times New Roman"/>
          <w:bCs w:val="0"/>
          <w:snapToGrid w:val="0"/>
          <w:color w:val="000000"/>
          <w:kern w:val="0"/>
          <w:sz w:val="24"/>
          <w:szCs w:val="24"/>
          <w:highlight w:val="none"/>
          <w:vertAlign w:val="subscript"/>
        </w:rPr>
        <w:t>2</w:t>
      </w:r>
      <w:r>
        <w:rPr>
          <w:rFonts w:hint="eastAsia" w:ascii="Times New Roman" w:hAnsi="Times New Roman" w:eastAsia="宋体" w:cs="Times New Roman"/>
          <w:bCs w:val="0"/>
          <w:snapToGrid w:val="0"/>
          <w:color w:val="000000"/>
          <w:kern w:val="0"/>
          <w:sz w:val="24"/>
          <w:szCs w:val="24"/>
          <w:highlight w:val="none"/>
        </w:rPr>
        <w:t>S满足《恶臭污染物排放标准》（GB14554-93）表1二级新改扩建标准，臭气浓度满足《畜禽养殖业污染物排放标准》（GB18596-2001）表7中规定的标准值。</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color w:val="000000"/>
          <w:kern w:val="0"/>
          <w:sz w:val="24"/>
          <w:szCs w:val="24"/>
          <w:highlight w:val="none"/>
        </w:rPr>
      </w:pPr>
      <w:r>
        <w:rPr>
          <w:rFonts w:ascii="Times New Roman" w:hAnsi="Times New Roman" w:eastAsia="宋体" w:cs="Times New Roman"/>
          <w:bCs w:val="0"/>
          <w:color w:val="000000"/>
          <w:kern w:val="0"/>
          <w:sz w:val="24"/>
          <w:szCs w:val="24"/>
          <w:highlight w:val="none"/>
        </w:rPr>
        <w:t>2、</w:t>
      </w:r>
      <w:r>
        <w:rPr>
          <w:rFonts w:ascii="Times New Roman" w:hAnsi="Times New Roman" w:eastAsia="宋体" w:cs="Times New Roman"/>
          <w:bCs w:val="0"/>
          <w:snapToGrid w:val="0"/>
          <w:color w:val="000000"/>
          <w:kern w:val="0"/>
          <w:sz w:val="24"/>
          <w:szCs w:val="24"/>
          <w:highlight w:val="none"/>
        </w:rPr>
        <w:t>噪声</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snapToGrid w:val="0"/>
          <w:color w:val="000000"/>
          <w:kern w:val="0"/>
          <w:sz w:val="24"/>
          <w:szCs w:val="24"/>
          <w:highlight w:val="none"/>
          <w:lang w:val="zh-TW"/>
        </w:rPr>
      </w:pPr>
      <w:r>
        <w:rPr>
          <w:rFonts w:ascii="Times New Roman" w:hAnsi="Times New Roman" w:eastAsia="宋体" w:cs="Times New Roman"/>
          <w:bCs w:val="0"/>
          <w:snapToGrid w:val="0"/>
          <w:color w:val="000000"/>
          <w:kern w:val="0"/>
          <w:sz w:val="24"/>
          <w:szCs w:val="24"/>
          <w:highlight w:val="none"/>
        </w:rPr>
        <w:t>验收监测期间，</w:t>
      </w:r>
      <w:r>
        <w:rPr>
          <w:rFonts w:hint="eastAsia" w:ascii="Times New Roman" w:hAnsi="Times New Roman" w:eastAsia="宋体" w:cs="Times New Roman"/>
          <w:bCs w:val="0"/>
          <w:snapToGrid w:val="0"/>
          <w:color w:val="000000"/>
          <w:kern w:val="0"/>
          <w:sz w:val="24"/>
          <w:szCs w:val="24"/>
          <w:highlight w:val="none"/>
          <w:lang w:val="zh-TW"/>
        </w:rPr>
        <w:t>厂界昼夜噪声均满足《工业企业厂界环境噪声排放标准》（GB12348-2008）表1中的2类声环境功能区标准限值要求</w:t>
      </w:r>
      <w:r>
        <w:rPr>
          <w:rFonts w:ascii="Times New Roman" w:hAnsi="Times New Roman" w:eastAsia="宋体" w:cs="Times New Roman"/>
          <w:bCs w:val="0"/>
          <w:snapToGrid w:val="0"/>
          <w:color w:val="000000"/>
          <w:kern w:val="0"/>
          <w:sz w:val="24"/>
          <w:szCs w:val="24"/>
          <w:highlight w:val="none"/>
          <w:lang w:val="zh-TW"/>
        </w:rPr>
        <w:t>。</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五、验收结论</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ascii="Times New Roman" w:hAnsi="Times New Roman" w:eastAsia="宋体" w:cs="Times New Roman"/>
          <w:bCs w:val="0"/>
          <w:snapToGrid w:val="0"/>
          <w:color w:val="000000"/>
          <w:kern w:val="0"/>
          <w:sz w:val="24"/>
          <w:szCs w:val="24"/>
          <w:highlight w:val="none"/>
        </w:rPr>
      </w:pPr>
      <w:r>
        <w:rPr>
          <w:rFonts w:ascii="Times New Roman" w:hAnsi="Times New Roman" w:eastAsia="宋体" w:cs="Times New Roman"/>
          <w:bCs w:val="0"/>
          <w:snapToGrid w:val="0"/>
          <w:color w:val="000000"/>
          <w:kern w:val="0"/>
          <w:sz w:val="24"/>
          <w:szCs w:val="24"/>
          <w:highlight w:val="none"/>
        </w:rPr>
        <w:t>项目已按环评和批复要求完成</w:t>
      </w:r>
      <w:r>
        <w:rPr>
          <w:rFonts w:hint="eastAsia" w:cs="Times New Roman"/>
          <w:bCs w:val="0"/>
          <w:snapToGrid w:val="0"/>
          <w:color w:val="000000"/>
          <w:kern w:val="0"/>
          <w:sz w:val="24"/>
          <w:szCs w:val="24"/>
          <w:highlight w:val="none"/>
          <w:lang w:eastAsia="zh-CN"/>
        </w:rPr>
        <w:t>“</w:t>
      </w:r>
      <w:r>
        <w:rPr>
          <w:rFonts w:ascii="Times New Roman" w:hAnsi="Times New Roman" w:eastAsia="宋体" w:cs="Times New Roman"/>
          <w:bCs w:val="0"/>
          <w:snapToGrid w:val="0"/>
          <w:color w:val="000000"/>
          <w:kern w:val="0"/>
          <w:sz w:val="24"/>
          <w:szCs w:val="24"/>
          <w:highlight w:val="none"/>
        </w:rPr>
        <w:t>三同时</w:t>
      </w:r>
      <w:r>
        <w:rPr>
          <w:rFonts w:hint="eastAsia" w:cs="Times New Roman"/>
          <w:bCs w:val="0"/>
          <w:snapToGrid w:val="0"/>
          <w:color w:val="000000"/>
          <w:kern w:val="0"/>
          <w:sz w:val="24"/>
          <w:szCs w:val="24"/>
          <w:highlight w:val="none"/>
          <w:lang w:eastAsia="zh-CN"/>
        </w:rPr>
        <w:t>”</w:t>
      </w:r>
      <w:r>
        <w:rPr>
          <w:rFonts w:ascii="Times New Roman" w:hAnsi="Times New Roman" w:eastAsia="宋体" w:cs="Times New Roman"/>
          <w:bCs w:val="0"/>
          <w:snapToGrid w:val="0"/>
          <w:color w:val="000000"/>
          <w:kern w:val="0"/>
          <w:sz w:val="24"/>
          <w:szCs w:val="24"/>
          <w:highlight w:val="none"/>
        </w:rPr>
        <w:t>建设，无重大变动，污染物达标排放，验收监测报告结论可信，验收合格。</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jc w:val="both"/>
        <w:textAlignment w:val="bottom"/>
        <w:outlineLvl w:val="0"/>
        <w:rPr>
          <w:rFonts w:ascii="Times New Roman" w:hAnsi="Times New Roman" w:eastAsia="宋体" w:cs="Times New Roman"/>
          <w:b/>
          <w:bCs w:val="0"/>
          <w:snapToGrid w:val="0"/>
          <w:color w:val="000000"/>
          <w:kern w:val="0"/>
          <w:sz w:val="24"/>
          <w:szCs w:val="24"/>
          <w:highlight w:val="none"/>
        </w:rPr>
      </w:pPr>
      <w:r>
        <w:rPr>
          <w:rFonts w:ascii="Times New Roman" w:hAnsi="Times New Roman" w:eastAsia="宋体" w:cs="Times New Roman"/>
          <w:b/>
          <w:bCs w:val="0"/>
          <w:snapToGrid w:val="0"/>
          <w:color w:val="000000"/>
          <w:kern w:val="0"/>
          <w:sz w:val="24"/>
          <w:szCs w:val="24"/>
          <w:highlight w:val="none"/>
        </w:rPr>
        <w:t>六、后续要求</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lang w:val="en-US" w:eastAsia="zh-CN" w:bidi="ar-SA"/>
        </w:rPr>
      </w:pPr>
      <w:r>
        <w:rPr>
          <w:rFonts w:ascii="Times New Roman" w:hAnsi="Times New Roman" w:eastAsia="宋体" w:cs="Times New Roman"/>
          <w:bCs w:val="0"/>
          <w:snapToGrid w:val="0"/>
          <w:color w:val="000000"/>
          <w:kern w:val="0"/>
          <w:sz w:val="24"/>
          <w:szCs w:val="24"/>
          <w:highlight w:val="none"/>
          <w:lang w:val="en-US" w:eastAsia="zh-CN" w:bidi="ar-SA"/>
        </w:rPr>
        <w:t>按照《排污单位自行监测技术指南-总则》(HJ819-2017)要求，自主组织进行污染源监测，并做好记录。</w:t>
      </w: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lang w:val="en-US" w:eastAsia="zh-CN" w:bidi="ar-SA"/>
        </w:rPr>
      </w:pP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lang w:val="en-US" w:eastAsia="zh-CN" w:bidi="ar-SA"/>
        </w:rPr>
      </w:pPr>
    </w:p>
    <w:p>
      <w:pPr>
        <w:pStyle w:val="21"/>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ottom"/>
        <w:outlineLvl w:val="9"/>
        <w:rPr>
          <w:rFonts w:hint="eastAsia" w:ascii="Times New Roman" w:hAnsi="Times New Roman" w:eastAsia="宋体" w:cs="Times New Roman"/>
          <w:bCs w:val="0"/>
          <w:snapToGrid w:val="0"/>
          <w:color w:val="000000"/>
          <w:kern w:val="0"/>
          <w:sz w:val="24"/>
          <w:szCs w:val="24"/>
          <w:highlight w:val="none"/>
          <w:lang w:val="en-US" w:eastAsia="zh-CN" w:bidi="ar-SA"/>
        </w:rPr>
      </w:pPr>
    </w:p>
    <w:p>
      <w:pPr>
        <w:adjustRightInd w:val="0"/>
        <w:snapToGrid w:val="0"/>
        <w:spacing w:line="360" w:lineRule="auto"/>
        <w:jc w:val="right"/>
        <w:textAlignment w:val="bottom"/>
        <w:outlineLvl w:val="0"/>
        <w:rPr>
          <w:rFonts w:hint="default" w:ascii="Times New Roman" w:hAnsi="Times New Roman" w:eastAsia="宋体" w:cs="Times New Roman"/>
          <w:b/>
          <w:bCs/>
          <w:i w:val="0"/>
          <w:iCs w:val="0"/>
          <w:snapToGrid w:val="0"/>
          <w:color w:val="000000"/>
          <w:kern w:val="0"/>
          <w:sz w:val="28"/>
          <w:szCs w:val="28"/>
          <w:highlight w:val="none"/>
          <w:vertAlign w:val="baseline"/>
          <w:lang w:val="en-US" w:eastAsia="zh-CN" w:bidi="ar-SA"/>
        </w:rPr>
      </w:pPr>
      <w:r>
        <w:rPr>
          <w:rFonts w:hint="default" w:ascii="Times New Roman" w:hAnsi="Times New Roman" w:eastAsia="宋体" w:cs="Times New Roman"/>
          <w:b/>
          <w:bCs/>
          <w:i w:val="0"/>
          <w:iCs w:val="0"/>
          <w:snapToGrid w:val="0"/>
          <w:color w:val="000000"/>
          <w:kern w:val="0"/>
          <w:sz w:val="28"/>
          <w:szCs w:val="28"/>
          <w:highlight w:val="none"/>
          <w:vertAlign w:val="baseline"/>
          <w:lang w:val="en-US" w:eastAsia="zh-CN" w:bidi="ar-SA"/>
        </w:rPr>
        <w:t>平度市大超康润生猪养殖场</w:t>
      </w:r>
    </w:p>
    <w:p>
      <w:pPr>
        <w:adjustRightInd w:val="0"/>
        <w:snapToGrid w:val="0"/>
        <w:spacing w:line="360" w:lineRule="auto"/>
        <w:jc w:val="right"/>
        <w:textAlignment w:val="bottom"/>
        <w:outlineLvl w:val="0"/>
        <w:rPr>
          <w:rFonts w:hint="eastAsia" w:ascii="Times New Roman" w:hAnsi="Times New Roman" w:eastAsia="宋体" w:cs="Times New Roman"/>
          <w:bCs w:val="0"/>
          <w:snapToGrid w:val="0"/>
          <w:color w:val="000000"/>
          <w:kern w:val="0"/>
          <w:sz w:val="24"/>
          <w:szCs w:val="24"/>
          <w:highlight w:val="none"/>
          <w:lang w:val="en-US" w:eastAsia="zh-CN" w:bidi="ar-SA"/>
        </w:rPr>
        <w:sectPr>
          <w:footerReference r:id="rId3" w:type="default"/>
          <w:footerReference r:id="rId4" w:type="even"/>
          <w:pgSz w:w="11906" w:h="16838"/>
          <w:pgMar w:top="1440" w:right="1800" w:bottom="1440" w:left="1800" w:header="851" w:footer="992" w:gutter="0"/>
          <w:pgNumType w:fmt="numberInDash"/>
          <w:cols w:space="0" w:num="1"/>
          <w:rtlGutter w:val="0"/>
          <w:docGrid w:linePitch="560" w:charSpace="0"/>
        </w:sectPr>
      </w:pPr>
      <w:r>
        <w:rPr>
          <w:rFonts w:hint="default" w:ascii="Times New Roman" w:hAnsi="Times New Roman" w:eastAsia="宋体" w:cs="Times New Roman"/>
          <w:b/>
          <w:bCs/>
          <w:i w:val="0"/>
          <w:iCs w:val="0"/>
          <w:snapToGrid w:val="0"/>
          <w:color w:val="000000"/>
          <w:kern w:val="0"/>
          <w:sz w:val="28"/>
          <w:szCs w:val="28"/>
          <w:highlight w:val="none"/>
          <w:vertAlign w:val="baseline"/>
          <w:lang w:val="en-US" w:eastAsia="zh-CN" w:bidi="ar-SA"/>
        </w:rPr>
        <w:t>2022年9月23日</w:t>
      </w:r>
    </w:p>
    <w:p>
      <w:pPr>
        <w:pStyle w:val="19"/>
        <w:keepNext w:val="0"/>
        <w:keepLines w:val="0"/>
        <w:pageBreakBefore w:val="0"/>
        <w:widowControl w:val="0"/>
        <w:kinsoku/>
        <w:wordWrap/>
        <w:overflowPunct/>
        <w:topLinePunct w:val="0"/>
        <w:autoSpaceDE/>
        <w:autoSpaceDN/>
        <w:bidi w:val="0"/>
        <w:adjustRightInd w:val="0"/>
        <w:snapToGrid w:val="0"/>
        <w:spacing w:line="240" w:lineRule="auto"/>
        <w:jc w:val="both"/>
        <w:textAlignment w:val="bottom"/>
        <w:outlineLvl w:val="0"/>
        <w:rPr>
          <w:rFonts w:hint="eastAsia" w:ascii="Times New Roman" w:hAnsi="Times New Roman" w:eastAsia="宋体" w:cs="Times New Roman"/>
          <w:b/>
          <w:bCs w:val="0"/>
          <w:snapToGrid w:val="0"/>
          <w:color w:val="000000"/>
          <w:kern w:val="0"/>
          <w:sz w:val="36"/>
          <w:szCs w:val="36"/>
          <w:highlight w:val="none"/>
          <w:lang w:val="en-US" w:eastAsia="zh-CN"/>
        </w:rPr>
      </w:pPr>
      <w:r>
        <w:rPr>
          <w:rFonts w:hint="eastAsia" w:ascii="Times New Roman" w:hAnsi="Times New Roman" w:eastAsia="宋体" w:cs="Times New Roman"/>
          <w:b/>
          <w:bCs w:val="0"/>
          <w:snapToGrid w:val="0"/>
          <w:color w:val="000000"/>
          <w:kern w:val="0"/>
          <w:sz w:val="36"/>
          <w:szCs w:val="36"/>
          <w:highlight w:val="none"/>
          <w:lang w:val="en-US" w:eastAsia="zh-CN"/>
        </w:rPr>
        <w:t>附件</w:t>
      </w:r>
    </w:p>
    <w:p>
      <w:pPr>
        <w:pStyle w:val="19"/>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eastAsia" w:ascii="Times New Roman" w:hAnsi="Times New Roman" w:eastAsia="宋体" w:cs="Times New Roman"/>
          <w:b/>
          <w:bCs w:val="0"/>
          <w:snapToGrid w:val="0"/>
          <w:color w:val="000000"/>
          <w:kern w:val="0"/>
          <w:sz w:val="36"/>
          <w:szCs w:val="36"/>
          <w:highlight w:val="none"/>
          <w:lang w:val="en-US" w:eastAsia="zh-CN"/>
        </w:rPr>
      </w:pPr>
    </w:p>
    <w:p>
      <w:pPr>
        <w:pStyle w:val="19"/>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eastAsia" w:ascii="Times New Roman" w:hAnsi="Times New Roman" w:eastAsia="宋体" w:cs="Times New Roman"/>
          <w:b/>
          <w:bCs w:val="0"/>
          <w:snapToGrid w:val="0"/>
          <w:color w:val="000000"/>
          <w:kern w:val="0"/>
          <w:sz w:val="36"/>
          <w:szCs w:val="36"/>
          <w:highlight w:val="none"/>
          <w:lang w:val="en-US" w:eastAsia="zh-CN"/>
        </w:rPr>
      </w:pPr>
    </w:p>
    <w:p>
      <w:pPr>
        <w:pStyle w:val="19"/>
        <w:keepNext w:val="0"/>
        <w:keepLines w:val="0"/>
        <w:pageBreakBefore w:val="0"/>
        <w:widowControl w:val="0"/>
        <w:kinsoku/>
        <w:wordWrap/>
        <w:overflowPunct/>
        <w:topLinePunct w:val="0"/>
        <w:autoSpaceDE/>
        <w:autoSpaceDN/>
        <w:bidi w:val="0"/>
        <w:adjustRightInd w:val="0"/>
        <w:snapToGrid w:val="0"/>
        <w:spacing w:line="360" w:lineRule="auto"/>
        <w:jc w:val="center"/>
        <w:textAlignment w:val="bottom"/>
        <w:outlineLvl w:val="0"/>
        <w:rPr>
          <w:rFonts w:hint="eastAsia" w:ascii="Times New Roman" w:hAnsi="Times New Roman" w:eastAsia="宋体" w:cs="Times New Roman"/>
          <w:b/>
          <w:bCs w:val="0"/>
          <w:snapToGrid w:val="0"/>
          <w:color w:val="000000"/>
          <w:kern w:val="0"/>
          <w:sz w:val="36"/>
          <w:szCs w:val="36"/>
          <w:highlight w:val="none"/>
          <w:lang w:eastAsia="zh-CN"/>
        </w:rPr>
      </w:pPr>
      <w:r>
        <w:rPr>
          <w:rFonts w:hint="eastAsia" w:ascii="Times New Roman" w:hAnsi="Times New Roman" w:eastAsia="宋体" w:cs="Times New Roman"/>
          <w:b/>
          <w:bCs w:val="0"/>
          <w:snapToGrid w:val="0"/>
          <w:color w:val="000000"/>
          <w:kern w:val="0"/>
          <w:sz w:val="36"/>
          <w:szCs w:val="36"/>
          <w:highlight w:val="none"/>
          <w:lang w:eastAsia="zh-CN"/>
        </w:rPr>
        <w:t>平度市大超康润生猪养殖场</w:t>
      </w:r>
    </w:p>
    <w:p>
      <w:pPr>
        <w:pStyle w:val="19"/>
        <w:keepNext w:val="0"/>
        <w:keepLines w:val="0"/>
        <w:pageBreakBefore w:val="0"/>
        <w:widowControl w:val="0"/>
        <w:kinsoku/>
        <w:wordWrap/>
        <w:overflowPunct/>
        <w:topLinePunct w:val="0"/>
        <w:autoSpaceDE/>
        <w:autoSpaceDN/>
        <w:bidi w:val="0"/>
        <w:adjustRightInd w:val="0"/>
        <w:snapToGrid w:val="0"/>
        <w:spacing w:line="360" w:lineRule="auto"/>
        <w:jc w:val="center"/>
        <w:textAlignment w:val="bottom"/>
        <w:outlineLvl w:val="9"/>
        <w:rPr>
          <w:rFonts w:hint="eastAsia" w:ascii="Times New Roman" w:hAnsi="Times New Roman" w:eastAsia="宋体" w:cs="Times New Roman"/>
          <w:b/>
          <w:bCs w:val="0"/>
          <w:snapToGrid w:val="0"/>
          <w:color w:val="000000"/>
          <w:kern w:val="0"/>
          <w:sz w:val="36"/>
          <w:szCs w:val="36"/>
          <w:highlight w:val="none"/>
          <w:lang w:val="en-US" w:eastAsia="zh-CN" w:bidi="ar-SA"/>
        </w:rPr>
      </w:pPr>
      <w:r>
        <w:rPr>
          <w:rFonts w:hint="eastAsia" w:ascii="Times New Roman" w:hAnsi="Times New Roman" w:eastAsia="宋体" w:cs="Times New Roman"/>
          <w:b/>
          <w:bCs w:val="0"/>
          <w:snapToGrid w:val="0"/>
          <w:color w:val="000000"/>
          <w:kern w:val="0"/>
          <w:sz w:val="36"/>
          <w:szCs w:val="36"/>
          <w:highlight w:val="none"/>
          <w:lang w:eastAsia="zh-CN"/>
        </w:rPr>
        <w:t>年出栏6000</w:t>
      </w:r>
      <w:r>
        <w:rPr>
          <w:rFonts w:hint="eastAsia" w:ascii="Times New Roman" w:hAnsi="Times New Roman" w:eastAsia="宋体" w:cs="Times New Roman"/>
          <w:b/>
          <w:bCs w:val="0"/>
          <w:snapToGrid w:val="0"/>
          <w:color w:val="000000"/>
          <w:kern w:val="0"/>
          <w:sz w:val="36"/>
          <w:szCs w:val="36"/>
          <w:highlight w:val="none"/>
          <w:lang w:val="en-US" w:eastAsia="zh-CN" w:bidi="ar-SA"/>
        </w:rPr>
        <w:t>头育肥猪项目</w:t>
      </w:r>
      <w:r>
        <w:rPr>
          <w:rFonts w:hint="default" w:ascii="Times New Roman" w:hAnsi="Times New Roman" w:eastAsia="宋体" w:cs="Times New Roman"/>
          <w:b/>
          <w:bCs w:val="0"/>
          <w:snapToGrid w:val="0"/>
          <w:color w:val="000000"/>
          <w:kern w:val="0"/>
          <w:sz w:val="36"/>
          <w:szCs w:val="36"/>
          <w:highlight w:val="none"/>
          <w:lang w:val="en-US" w:eastAsia="zh-CN" w:bidi="ar-SA"/>
        </w:rPr>
        <w:t>（一期）</w:t>
      </w:r>
    </w:p>
    <w:p>
      <w:pPr>
        <w:pStyle w:val="19"/>
        <w:keepNext w:val="0"/>
        <w:keepLines w:val="0"/>
        <w:pageBreakBefore w:val="0"/>
        <w:widowControl w:val="0"/>
        <w:kinsoku/>
        <w:wordWrap/>
        <w:overflowPunct/>
        <w:topLinePunct w:val="0"/>
        <w:autoSpaceDE/>
        <w:autoSpaceDN/>
        <w:bidi w:val="0"/>
        <w:adjustRightInd w:val="0"/>
        <w:snapToGrid w:val="0"/>
        <w:spacing w:line="360" w:lineRule="auto"/>
        <w:jc w:val="center"/>
        <w:textAlignment w:val="bottom"/>
        <w:outlineLvl w:val="0"/>
        <w:rPr>
          <w:rFonts w:hint="eastAsia" w:ascii="Times New Roman" w:hAnsi="Times New Roman" w:eastAsia="宋体" w:cs="Times New Roman"/>
          <w:b/>
          <w:bCs w:val="0"/>
          <w:snapToGrid w:val="0"/>
          <w:color w:val="000000"/>
          <w:kern w:val="0"/>
          <w:sz w:val="36"/>
          <w:szCs w:val="36"/>
          <w:highlight w:val="none"/>
          <w:lang w:val="en-US" w:eastAsia="zh-CN" w:bidi="ar-SA"/>
        </w:rPr>
      </w:pPr>
      <w:r>
        <w:rPr>
          <w:rFonts w:hint="eastAsia" w:ascii="Times New Roman" w:hAnsi="Times New Roman" w:eastAsia="宋体" w:cs="Times New Roman"/>
          <w:b/>
          <w:bCs w:val="0"/>
          <w:snapToGrid w:val="0"/>
          <w:color w:val="000000"/>
          <w:kern w:val="0"/>
          <w:sz w:val="36"/>
          <w:szCs w:val="36"/>
          <w:highlight w:val="none"/>
          <w:lang w:val="en-US" w:eastAsia="zh-CN" w:bidi="ar-SA"/>
        </w:rPr>
        <w:t>竣工环境保护验收人员信息</w:t>
      </w:r>
    </w:p>
    <w:tbl>
      <w:tblPr>
        <w:tblStyle w:val="22"/>
        <w:tblW w:w="4997" w:type="pct"/>
        <w:jc w:val="center"/>
        <w:tblLayout w:type="autofit"/>
        <w:tblCellMar>
          <w:top w:w="0" w:type="dxa"/>
          <w:left w:w="51" w:type="dxa"/>
          <w:bottom w:w="0" w:type="dxa"/>
          <w:right w:w="51" w:type="dxa"/>
        </w:tblCellMar>
      </w:tblPr>
      <w:tblGrid>
        <w:gridCol w:w="639"/>
        <w:gridCol w:w="1170"/>
        <w:gridCol w:w="964"/>
        <w:gridCol w:w="2704"/>
        <w:gridCol w:w="1197"/>
        <w:gridCol w:w="1729"/>
      </w:tblGrid>
      <w:tr>
        <w:tblPrEx>
          <w:tblCellMar>
            <w:top w:w="0" w:type="dxa"/>
            <w:left w:w="51" w:type="dxa"/>
            <w:bottom w:w="0" w:type="dxa"/>
            <w:right w:w="51" w:type="dxa"/>
          </w:tblCellMar>
        </w:tblPrEx>
        <w:trPr>
          <w:trHeight w:val="680" w:hRule="atLeast"/>
          <w:jc w:val="center"/>
        </w:trPr>
        <w:tc>
          <w:tcPr>
            <w:tcW w:w="107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
                <w:bCs w:val="0"/>
                <w:snapToGrid w:val="0"/>
                <w:color w:val="000000"/>
                <w:kern w:val="0"/>
                <w:sz w:val="24"/>
                <w:szCs w:val="24"/>
                <w:highlight w:val="none"/>
              </w:rPr>
              <w:t>验收组</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
                <w:bCs w:val="0"/>
                <w:snapToGrid w:val="0"/>
                <w:color w:val="000000"/>
                <w:kern w:val="0"/>
                <w:sz w:val="24"/>
                <w:szCs w:val="24"/>
                <w:highlight w:val="none"/>
              </w:rPr>
              <w:t>姓  名</w:t>
            </w:r>
          </w:p>
        </w:tc>
        <w:tc>
          <w:tcPr>
            <w:tcW w:w="160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
                <w:bCs w:val="0"/>
                <w:snapToGrid w:val="0"/>
                <w:color w:val="000000"/>
                <w:kern w:val="0"/>
                <w:sz w:val="24"/>
                <w:szCs w:val="24"/>
                <w:highlight w:val="none"/>
              </w:rPr>
              <w:t>单      位</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
                <w:bCs w:val="0"/>
                <w:snapToGrid w:val="0"/>
                <w:color w:val="000000"/>
                <w:kern w:val="0"/>
                <w:sz w:val="24"/>
                <w:szCs w:val="24"/>
                <w:highlight w:val="none"/>
              </w:rPr>
              <w:t>职务/职称</w:t>
            </w:r>
          </w:p>
        </w:tc>
        <w:tc>
          <w:tcPr>
            <w:tcW w:w="102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
                <w:bCs w:val="0"/>
                <w:snapToGrid w:val="0"/>
                <w:color w:val="000000"/>
                <w:kern w:val="0"/>
                <w:sz w:val="24"/>
                <w:szCs w:val="24"/>
                <w:highlight w:val="none"/>
              </w:rPr>
              <w:t>签  名</w:t>
            </w:r>
          </w:p>
        </w:tc>
      </w:tr>
      <w:tr>
        <w:tblPrEx>
          <w:tblCellMar>
            <w:top w:w="0" w:type="dxa"/>
            <w:left w:w="51" w:type="dxa"/>
            <w:bottom w:w="0" w:type="dxa"/>
            <w:right w:w="51" w:type="dxa"/>
          </w:tblCellMar>
        </w:tblPrEx>
        <w:trPr>
          <w:trHeight w:val="1071" w:hRule="atLeast"/>
          <w:jc w:val="center"/>
        </w:trPr>
        <w:tc>
          <w:tcPr>
            <w:tcW w:w="3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rPr>
              <w:t>组长</w:t>
            </w:r>
          </w:p>
        </w:tc>
        <w:tc>
          <w:tcPr>
            <w:tcW w:w="6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rPr>
              <w:t>建设单位</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rPr>
            </w:pPr>
          </w:p>
        </w:tc>
        <w:tc>
          <w:tcPr>
            <w:tcW w:w="160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cs="Times New Roman"/>
                <w:bCs w:val="0"/>
                <w:snapToGrid w:val="0"/>
                <w:color w:val="000000"/>
                <w:kern w:val="0"/>
                <w:sz w:val="24"/>
                <w:szCs w:val="24"/>
                <w:highlight w:val="none"/>
                <w:lang w:eastAsia="zh-CN"/>
              </w:rPr>
            </w:pPr>
            <w:r>
              <w:rPr>
                <w:rFonts w:hint="default" w:ascii="Times New Roman" w:hAnsi="Times New Roman" w:cs="Times New Roman"/>
                <w:bCs w:val="0"/>
                <w:snapToGrid w:val="0"/>
                <w:color w:val="000000"/>
                <w:kern w:val="0"/>
                <w:sz w:val="24"/>
                <w:szCs w:val="24"/>
                <w:highlight w:val="none"/>
                <w:lang w:eastAsia="zh-CN"/>
              </w:rPr>
              <w:t>平度市大超康润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lang w:eastAsia="zh-CN"/>
              </w:rPr>
            </w:pPr>
            <w:r>
              <w:rPr>
                <w:rFonts w:hint="default" w:ascii="Times New Roman" w:hAnsi="Times New Roman" w:cs="Times New Roman"/>
                <w:bCs w:val="0"/>
                <w:snapToGrid w:val="0"/>
                <w:color w:val="000000"/>
                <w:kern w:val="0"/>
                <w:sz w:val="24"/>
                <w:szCs w:val="24"/>
                <w:highlight w:val="none"/>
                <w:lang w:eastAsia="zh-CN"/>
              </w:rPr>
              <w:t>生猪养殖场</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rPr>
            </w:pPr>
          </w:p>
        </w:tc>
        <w:tc>
          <w:tcPr>
            <w:tcW w:w="102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p>
        </w:tc>
      </w:tr>
      <w:tr>
        <w:tblPrEx>
          <w:tblCellMar>
            <w:top w:w="0" w:type="dxa"/>
            <w:left w:w="51" w:type="dxa"/>
            <w:bottom w:w="0" w:type="dxa"/>
            <w:right w:w="51" w:type="dxa"/>
          </w:tblCellMar>
        </w:tblPrEx>
        <w:trPr>
          <w:trHeight w:val="1005" w:hRule="atLeast"/>
          <w:jc w:val="center"/>
        </w:trPr>
        <w:tc>
          <w:tcPr>
            <w:tcW w:w="3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rPr>
              <w:t>成员</w:t>
            </w:r>
          </w:p>
        </w:tc>
        <w:tc>
          <w:tcPr>
            <w:tcW w:w="6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rPr>
              <w:t>验收报告</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r>
              <w:rPr>
                <w:rFonts w:hint="default" w:ascii="Times New Roman" w:hAnsi="Times New Roman" w:eastAsia="宋体" w:cs="Times New Roman"/>
                <w:bCs w:val="0"/>
                <w:snapToGrid w:val="0"/>
                <w:color w:val="000000"/>
                <w:kern w:val="0"/>
                <w:sz w:val="24"/>
                <w:szCs w:val="24"/>
                <w:highlight w:val="none"/>
              </w:rPr>
              <w:t>编制单位</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rPr>
            </w:pPr>
          </w:p>
        </w:tc>
        <w:tc>
          <w:tcPr>
            <w:tcW w:w="160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cs="Times New Roman"/>
                <w:bCs w:val="0"/>
                <w:snapToGrid w:val="0"/>
                <w:color w:val="000000"/>
                <w:kern w:val="0"/>
                <w:sz w:val="24"/>
                <w:szCs w:val="24"/>
                <w:highlight w:val="none"/>
                <w:lang w:eastAsia="zh-CN"/>
              </w:rPr>
            </w:pPr>
            <w:r>
              <w:rPr>
                <w:rFonts w:hint="default" w:ascii="Times New Roman" w:hAnsi="Times New Roman" w:cs="Times New Roman"/>
                <w:bCs w:val="0"/>
                <w:snapToGrid w:val="0"/>
                <w:color w:val="000000"/>
                <w:kern w:val="0"/>
                <w:sz w:val="24"/>
                <w:szCs w:val="24"/>
                <w:highlight w:val="none"/>
                <w:lang w:eastAsia="zh-CN"/>
              </w:rPr>
              <w:t>平度市大超康润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lang w:eastAsia="zh-CN"/>
              </w:rPr>
            </w:pPr>
            <w:r>
              <w:rPr>
                <w:rFonts w:hint="default" w:ascii="Times New Roman" w:hAnsi="Times New Roman" w:cs="Times New Roman"/>
                <w:bCs w:val="0"/>
                <w:snapToGrid w:val="0"/>
                <w:color w:val="000000"/>
                <w:kern w:val="0"/>
                <w:sz w:val="24"/>
                <w:szCs w:val="24"/>
                <w:highlight w:val="none"/>
                <w:lang w:eastAsia="zh-CN"/>
              </w:rPr>
              <w:t>生猪养殖场</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rPr>
            </w:pPr>
          </w:p>
        </w:tc>
        <w:tc>
          <w:tcPr>
            <w:tcW w:w="102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color w:val="000000"/>
                <w:kern w:val="0"/>
                <w:sz w:val="24"/>
                <w:szCs w:val="24"/>
                <w:highlight w:val="none"/>
              </w:rPr>
            </w:pPr>
          </w:p>
        </w:tc>
      </w:tr>
      <w:tr>
        <w:tblPrEx>
          <w:tblCellMar>
            <w:top w:w="0" w:type="dxa"/>
            <w:left w:w="51" w:type="dxa"/>
            <w:bottom w:w="0" w:type="dxa"/>
            <w:right w:w="51" w:type="dxa"/>
          </w:tblCellMar>
        </w:tblPrEx>
        <w:trPr>
          <w:trHeight w:val="1106" w:hRule="atLeast"/>
          <w:jc w:val="center"/>
        </w:trPr>
        <w:tc>
          <w:tcPr>
            <w:tcW w:w="380"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bCs w:val="0"/>
                <w:snapToGrid w:val="0"/>
                <w:color w:val="000000"/>
                <w:kern w:val="0"/>
                <w:sz w:val="24"/>
                <w:szCs w:val="24"/>
                <w:highlight w:val="none"/>
                <w:lang w:eastAsia="zh-CN"/>
              </w:rPr>
            </w:pPr>
          </w:p>
        </w:tc>
        <w:tc>
          <w:tcPr>
            <w:tcW w:w="696"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Cs w:val="0"/>
                <w:snapToGrid w:val="0"/>
                <w:color w:val="000000"/>
                <w:kern w:val="0"/>
                <w:sz w:val="24"/>
                <w:szCs w:val="24"/>
                <w:highlight w:val="none"/>
                <w:lang w:val="en-US" w:eastAsia="zh-CN" w:bidi="ar-SA"/>
              </w:rPr>
            </w:pPr>
            <w:r>
              <w:rPr>
                <w:rFonts w:hint="default" w:ascii="Times New Roman" w:hAnsi="Times New Roman" w:eastAsia="宋体" w:cs="Times New Roman"/>
                <w:bCs w:val="0"/>
                <w:snapToGrid w:val="0"/>
                <w:color w:val="000000"/>
                <w:kern w:val="0"/>
                <w:sz w:val="24"/>
                <w:szCs w:val="24"/>
                <w:highlight w:val="none"/>
                <w:lang w:val="en-US" w:eastAsia="zh-CN" w:bidi="ar-SA"/>
              </w:rPr>
              <w:t>专家</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bidi="ar-SA"/>
              </w:rPr>
            </w:pPr>
            <w:r>
              <w:rPr>
                <w:rFonts w:hint="default" w:ascii="Times New Roman" w:hAnsi="Times New Roman" w:eastAsia="宋体" w:cs="Times New Roman"/>
                <w:b w:val="0"/>
                <w:bCs w:val="0"/>
                <w:snapToGrid w:val="0"/>
                <w:color w:val="000000"/>
                <w:kern w:val="0"/>
                <w:sz w:val="24"/>
                <w:szCs w:val="24"/>
                <w:highlight w:val="none"/>
                <w:lang w:val="en-US" w:eastAsia="zh-CN" w:bidi="ar-SA"/>
              </w:rPr>
              <w:t>王犇</w:t>
            </w:r>
          </w:p>
        </w:tc>
        <w:tc>
          <w:tcPr>
            <w:tcW w:w="160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bidi="ar-SA"/>
              </w:rPr>
            </w:pPr>
            <w:r>
              <w:rPr>
                <w:rFonts w:hint="default" w:ascii="Times New Roman" w:hAnsi="Times New Roman" w:eastAsia="宋体" w:cs="Times New Roman"/>
                <w:b w:val="0"/>
                <w:bCs w:val="0"/>
                <w:snapToGrid w:val="0"/>
                <w:color w:val="000000"/>
                <w:kern w:val="0"/>
                <w:sz w:val="24"/>
                <w:szCs w:val="24"/>
                <w:highlight w:val="none"/>
                <w:lang w:val="en-US" w:eastAsia="zh-CN"/>
              </w:rPr>
              <w:t>青岛科技大学</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bidi="ar-SA"/>
              </w:rPr>
            </w:pPr>
            <w:r>
              <w:rPr>
                <w:rFonts w:hint="default" w:ascii="Times New Roman" w:hAnsi="Times New Roman" w:eastAsia="宋体" w:cs="Times New Roman"/>
                <w:b w:val="0"/>
                <w:bCs w:val="0"/>
                <w:snapToGrid w:val="0"/>
                <w:color w:val="000000"/>
                <w:kern w:val="0"/>
                <w:sz w:val="24"/>
                <w:szCs w:val="24"/>
                <w:highlight w:val="none"/>
                <w:lang w:val="en-US" w:eastAsia="zh-CN"/>
              </w:rPr>
              <w:t>教授</w:t>
            </w:r>
          </w:p>
        </w:tc>
        <w:tc>
          <w:tcPr>
            <w:tcW w:w="102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bCs w:val="0"/>
                <w:snapToGrid w:val="0"/>
                <w:color w:val="000000"/>
                <w:kern w:val="0"/>
                <w:sz w:val="24"/>
                <w:szCs w:val="24"/>
                <w:highlight w:val="none"/>
                <w:lang w:eastAsia="zh-CN"/>
              </w:rPr>
            </w:pPr>
          </w:p>
        </w:tc>
      </w:tr>
      <w:tr>
        <w:tblPrEx>
          <w:tblCellMar>
            <w:top w:w="0" w:type="dxa"/>
            <w:left w:w="51" w:type="dxa"/>
            <w:bottom w:w="0" w:type="dxa"/>
            <w:right w:w="51" w:type="dxa"/>
          </w:tblCellMar>
        </w:tblPrEx>
        <w:trPr>
          <w:trHeight w:val="1201" w:hRule="atLeast"/>
          <w:jc w:val="center"/>
        </w:trPr>
        <w:tc>
          <w:tcPr>
            <w:tcW w:w="380"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bCs w:val="0"/>
                <w:snapToGrid w:val="0"/>
                <w:color w:val="000000"/>
                <w:kern w:val="0"/>
                <w:sz w:val="24"/>
                <w:szCs w:val="24"/>
                <w:highlight w:val="none"/>
                <w:lang w:eastAsia="zh-CN"/>
              </w:rPr>
            </w:pPr>
          </w:p>
        </w:tc>
        <w:tc>
          <w:tcPr>
            <w:tcW w:w="696"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bCs w:val="0"/>
                <w:snapToGrid w:val="0"/>
                <w:color w:val="000000"/>
                <w:kern w:val="0"/>
                <w:sz w:val="24"/>
                <w:szCs w:val="24"/>
                <w:highlight w:val="none"/>
                <w:lang w:eastAsia="zh-CN"/>
              </w:rPr>
            </w:pP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rPr>
            </w:pPr>
            <w:r>
              <w:rPr>
                <w:rFonts w:hint="default" w:ascii="Times New Roman" w:hAnsi="Times New Roman" w:eastAsia="宋体" w:cs="Times New Roman"/>
                <w:b w:val="0"/>
                <w:bCs w:val="0"/>
                <w:i w:val="0"/>
                <w:iCs w:val="0"/>
                <w:snapToGrid w:val="0"/>
                <w:color w:val="000000"/>
                <w:kern w:val="0"/>
                <w:sz w:val="24"/>
                <w:szCs w:val="24"/>
                <w:highlight w:val="none"/>
                <w:vertAlign w:val="baseline"/>
                <w:lang w:val="en-US" w:eastAsia="zh-CN" w:bidi="ar-SA"/>
              </w:rPr>
              <w:t>谢洪波</w:t>
            </w:r>
          </w:p>
        </w:tc>
        <w:tc>
          <w:tcPr>
            <w:tcW w:w="160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rPr>
            </w:pPr>
            <w:r>
              <w:rPr>
                <w:rFonts w:hint="default" w:ascii="Times New Roman" w:hAnsi="Times New Roman" w:cs="Times New Roman"/>
                <w:b w:val="0"/>
                <w:bCs w:val="0"/>
                <w:snapToGrid w:val="0"/>
                <w:color w:val="000000"/>
                <w:kern w:val="0"/>
                <w:sz w:val="24"/>
                <w:szCs w:val="24"/>
                <w:highlight w:val="none"/>
                <w:lang w:val="en-US" w:eastAsia="zh-CN"/>
              </w:rPr>
              <w:t>青岛大学</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val="0"/>
                <w:bCs w:val="0"/>
                <w:snapToGrid w:val="0"/>
                <w:color w:val="000000"/>
                <w:kern w:val="0"/>
                <w:sz w:val="24"/>
                <w:szCs w:val="24"/>
                <w:highlight w:val="none"/>
                <w:lang w:val="en-US" w:eastAsia="zh-CN"/>
              </w:rPr>
            </w:pPr>
            <w:r>
              <w:rPr>
                <w:rFonts w:hint="default" w:ascii="Times New Roman" w:hAnsi="Times New Roman" w:cs="Times New Roman"/>
                <w:b w:val="0"/>
                <w:bCs w:val="0"/>
                <w:snapToGrid w:val="0"/>
                <w:color w:val="000000"/>
                <w:kern w:val="0"/>
                <w:sz w:val="24"/>
                <w:szCs w:val="24"/>
                <w:highlight w:val="none"/>
                <w:lang w:val="en-US" w:eastAsia="zh-CN"/>
              </w:rPr>
              <w:t>教授</w:t>
            </w:r>
          </w:p>
        </w:tc>
        <w:tc>
          <w:tcPr>
            <w:tcW w:w="102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outlineLvl w:val="9"/>
              <w:rPr>
                <w:rFonts w:hint="default" w:ascii="Times New Roman" w:hAnsi="Times New Roman" w:eastAsia="宋体" w:cs="Times New Roman"/>
                <w:b/>
                <w:bCs w:val="0"/>
                <w:snapToGrid w:val="0"/>
                <w:color w:val="000000"/>
                <w:kern w:val="0"/>
                <w:sz w:val="24"/>
                <w:szCs w:val="24"/>
                <w:highlight w:val="none"/>
                <w:lang w:eastAsia="zh-CN"/>
              </w:rPr>
            </w:pPr>
          </w:p>
        </w:tc>
      </w:tr>
    </w:tbl>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ottom"/>
        <w:outlineLvl w:val="9"/>
        <w:rPr>
          <w:rFonts w:hint="eastAsia" w:ascii="Times New Roman" w:hAnsi="Times New Roman" w:eastAsia="宋体" w:cs="Times New Roman"/>
          <w:b/>
          <w:bCs w:val="0"/>
          <w:snapToGrid w:val="0"/>
          <w:color w:val="000000"/>
          <w:kern w:val="0"/>
          <w:sz w:val="28"/>
          <w:szCs w:val="28"/>
          <w:highlight w:val="none"/>
          <w:lang w:eastAsia="zh-CN"/>
        </w:rPr>
      </w:pPr>
    </w:p>
    <w:p>
      <w:pPr>
        <w:pStyle w:val="2"/>
        <w:rPr>
          <w:rFonts w:hint="eastAsia"/>
          <w:color w:val="000000"/>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bottom"/>
        <w:outlineLvl w:val="9"/>
        <w:rPr>
          <w:rFonts w:ascii="Times New Roman" w:hAnsi="Times New Roman" w:eastAsia="宋体" w:cs="Times New Roman"/>
          <w:b/>
          <w:bCs w:val="0"/>
          <w:snapToGrid w:val="0"/>
          <w:color w:val="000000"/>
          <w:kern w:val="0"/>
          <w:sz w:val="28"/>
          <w:szCs w:val="28"/>
          <w:highlight w:val="none"/>
        </w:rPr>
      </w:pPr>
      <w:r>
        <w:rPr>
          <w:rFonts w:ascii="Times New Roman" w:hAnsi="Times New Roman" w:eastAsia="宋体" w:cs="Times New Roman"/>
          <w:b/>
          <w:bCs w:val="0"/>
          <w:snapToGrid w:val="0"/>
          <w:color w:val="000000"/>
          <w:kern w:val="0"/>
          <w:sz w:val="28"/>
          <w:szCs w:val="28"/>
          <w:highlight w:val="none"/>
        </w:rPr>
        <w:t>20</w:t>
      </w:r>
      <w:r>
        <w:rPr>
          <w:rFonts w:hint="eastAsia" w:ascii="Times New Roman" w:hAnsi="Times New Roman" w:eastAsia="宋体" w:cs="Times New Roman"/>
          <w:b/>
          <w:bCs w:val="0"/>
          <w:snapToGrid w:val="0"/>
          <w:color w:val="000000"/>
          <w:kern w:val="0"/>
          <w:sz w:val="28"/>
          <w:szCs w:val="28"/>
          <w:highlight w:val="none"/>
        </w:rPr>
        <w:t>2</w:t>
      </w:r>
      <w:r>
        <w:rPr>
          <w:rFonts w:hint="default" w:cs="Times New Roman"/>
          <w:b/>
          <w:bCs w:val="0"/>
          <w:snapToGrid w:val="0"/>
          <w:color w:val="000000"/>
          <w:kern w:val="0"/>
          <w:sz w:val="28"/>
          <w:szCs w:val="28"/>
          <w:highlight w:val="none"/>
          <w:lang w:val="en-US"/>
        </w:rPr>
        <w:t>2</w:t>
      </w:r>
      <w:r>
        <w:rPr>
          <w:rFonts w:hint="eastAsia" w:ascii="Times New Roman" w:hAnsi="Times New Roman" w:eastAsia="宋体" w:cs="Times New Roman"/>
          <w:b/>
          <w:bCs w:val="0"/>
          <w:snapToGrid w:val="0"/>
          <w:color w:val="000000"/>
          <w:kern w:val="0"/>
          <w:sz w:val="28"/>
          <w:szCs w:val="28"/>
          <w:highlight w:val="none"/>
        </w:rPr>
        <w:t>年</w:t>
      </w:r>
      <w:r>
        <w:rPr>
          <w:rFonts w:hint="eastAsia" w:cs="Times New Roman"/>
          <w:b/>
          <w:bCs w:val="0"/>
          <w:snapToGrid w:val="0"/>
          <w:color w:val="000000"/>
          <w:kern w:val="0"/>
          <w:sz w:val="28"/>
          <w:szCs w:val="28"/>
          <w:highlight w:val="none"/>
          <w:lang w:val="en-US" w:eastAsia="zh-CN"/>
        </w:rPr>
        <w:t>9</w:t>
      </w:r>
      <w:r>
        <w:rPr>
          <w:rFonts w:hint="eastAsia" w:ascii="Times New Roman" w:hAnsi="Times New Roman" w:eastAsia="宋体" w:cs="Times New Roman"/>
          <w:b/>
          <w:bCs w:val="0"/>
          <w:snapToGrid w:val="0"/>
          <w:color w:val="000000"/>
          <w:kern w:val="0"/>
          <w:sz w:val="28"/>
          <w:szCs w:val="28"/>
          <w:highlight w:val="none"/>
        </w:rPr>
        <w:t>月</w:t>
      </w:r>
      <w:r>
        <w:rPr>
          <w:rFonts w:hint="eastAsia" w:cs="Times New Roman"/>
          <w:b/>
          <w:bCs w:val="0"/>
          <w:snapToGrid w:val="0"/>
          <w:color w:val="000000"/>
          <w:kern w:val="0"/>
          <w:sz w:val="28"/>
          <w:szCs w:val="28"/>
          <w:highlight w:val="none"/>
          <w:lang w:val="en-US" w:eastAsia="zh-CN"/>
        </w:rPr>
        <w:t>23</w:t>
      </w:r>
      <w:r>
        <w:rPr>
          <w:rFonts w:hint="eastAsia" w:ascii="Times New Roman" w:hAnsi="Times New Roman" w:eastAsia="宋体" w:cs="Times New Roman"/>
          <w:b/>
          <w:bCs w:val="0"/>
          <w:snapToGrid w:val="0"/>
          <w:color w:val="000000"/>
          <w:kern w:val="0"/>
          <w:sz w:val="28"/>
          <w:szCs w:val="28"/>
          <w:highlight w:val="none"/>
        </w:rPr>
        <w:t>日</w:t>
      </w:r>
    </w:p>
    <w:sectPr>
      <w:pgSz w:w="11906" w:h="16838"/>
      <w:pgMar w:top="1440" w:right="1800" w:bottom="1440" w:left="1800" w:header="851" w:footer="992" w:gutter="0"/>
      <w:pgNumType w:fmt="numberInDash"/>
      <w:cols w:space="0" w:num="1"/>
      <w:rtlGutter w:val="0"/>
      <w:docGrid w:linePitch="5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仿宋_GB2312">
    <w:panose1 w:val="02010609030101010101"/>
    <w:charset w:val="86"/>
    <w:family w:val="roman"/>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rPr>
        <w:rFonts w:cs="Times New Roman"/>
      </w:rPr>
    </w:pPr>
    <w:r>
      <w:fldChar w:fldCharType="begin"/>
    </w:r>
    <w:r>
      <w:instrText xml:space="preserve"> PAGE   \* MERGEFORMAT </w:instrText>
    </w:r>
    <w:r>
      <w:fldChar w:fldCharType="separate"/>
    </w:r>
    <w:r>
      <w:rPr>
        <w:lang w:val="zh-CN"/>
      </w:rPr>
      <w:t>-</w:t>
    </w:r>
    <w:r>
      <w:t xml:space="preserve"> 4 -</w:t>
    </w:r>
    <w:r>
      <w:fldChar w:fldCharType="end"/>
    </w:r>
  </w:p>
  <w:p>
    <w:pPr>
      <w:pStyle w:val="14"/>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documentProtection w:enforcement="0"/>
  <w:defaultTabStop w:val="420"/>
  <w:doNotHyphenateCaps/>
  <w:drawingGridHorizontalSpacing w:val="210"/>
  <w:drawingGridVerticalSpacing w:val="280"/>
  <w:displayHorizontalDrawingGridEvery w:val="1"/>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7ACF28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rFonts w:ascii="黑体" w:hAnsi="黑体" w:eastAsia="黑体" w:cs="黑体"/>
      <w:sz w:val="32"/>
      <w:szCs w:val="32"/>
    </w:rPr>
  </w:style>
  <w:style w:type="paragraph" w:styleId="5">
    <w:name w:val="heading 2"/>
    <w:basedOn w:val="1"/>
    <w:next w:val="6"/>
    <w:link w:val="35"/>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7">
    <w:name w:val="heading 3"/>
    <w:basedOn w:val="1"/>
    <w:next w:val="1"/>
    <w:link w:val="36"/>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1">
    <w:name w:val="Default Paragraph Font"/>
    <w:qFormat/>
    <w:uiPriority w:val="1"/>
  </w:style>
  <w:style w:type="table" w:default="1" w:styleId="22">
    <w:name w:val="Normal Table"/>
    <w:qFormat/>
    <w:uiPriority w:val="99"/>
    <w:tblPr>
      <w:tblCellMar>
        <w:top w:w="0" w:type="dxa"/>
        <w:left w:w="108" w:type="dxa"/>
        <w:bottom w:w="0" w:type="dxa"/>
        <w:right w:w="108" w:type="dxa"/>
      </w:tblCellMar>
    </w:tblPr>
  </w:style>
  <w:style w:type="paragraph" w:styleId="2">
    <w:name w:val="Body Text First Indent 2"/>
    <w:basedOn w:val="3"/>
    <w:link w:val="38"/>
    <w:qFormat/>
    <w:uiPriority w:val="99"/>
    <w:pPr>
      <w:spacing w:after="120" w:line="240" w:lineRule="auto"/>
      <w:ind w:left="420" w:leftChars="200"/>
    </w:pPr>
    <w:rPr>
      <w:sz w:val="21"/>
      <w:szCs w:val="21"/>
    </w:rPr>
  </w:style>
  <w:style w:type="paragraph" w:styleId="3">
    <w:name w:val="Body Text Indent"/>
    <w:basedOn w:val="1"/>
    <w:link w:val="37"/>
    <w:qFormat/>
    <w:uiPriority w:val="99"/>
    <w:pPr>
      <w:spacing w:line="400" w:lineRule="atLeast"/>
      <w:ind w:firstLine="420"/>
    </w:pPr>
    <w:rPr>
      <w:rFonts w:ascii="仿宋_GB2312" w:hAnsi="宋体" w:eastAsia="仿宋_GB2312" w:cs="仿宋_GB2312"/>
      <w:sz w:val="32"/>
      <w:szCs w:val="32"/>
    </w:rPr>
  </w:style>
  <w:style w:type="paragraph" w:styleId="6">
    <w:name w:val="Normal Indent"/>
    <w:basedOn w:val="1"/>
    <w:link w:val="61"/>
    <w:qFormat/>
    <w:uiPriority w:val="99"/>
    <w:pPr>
      <w:snapToGrid w:val="0"/>
      <w:spacing w:before="60" w:after="60" w:line="300" w:lineRule="auto"/>
      <w:ind w:firstLine="420"/>
    </w:pPr>
    <w:rPr>
      <w:sz w:val="24"/>
      <w:szCs w:val="24"/>
    </w:rPr>
  </w:style>
  <w:style w:type="paragraph" w:styleId="8">
    <w:name w:val="Document Map"/>
    <w:basedOn w:val="1"/>
    <w:link w:val="41"/>
    <w:qFormat/>
    <w:uiPriority w:val="99"/>
    <w:pPr>
      <w:shd w:val="clear" w:color="auto" w:fill="000080"/>
    </w:pPr>
  </w:style>
  <w:style w:type="paragraph" w:styleId="9">
    <w:name w:val="annotation text"/>
    <w:basedOn w:val="1"/>
    <w:link w:val="42"/>
    <w:qFormat/>
    <w:uiPriority w:val="99"/>
    <w:pPr>
      <w:jc w:val="left"/>
    </w:pPr>
  </w:style>
  <w:style w:type="paragraph" w:styleId="10">
    <w:name w:val="Body Text"/>
    <w:basedOn w:val="1"/>
    <w:link w:val="39"/>
    <w:qFormat/>
    <w:uiPriority w:val="99"/>
    <w:pPr>
      <w:spacing w:after="120"/>
    </w:pPr>
  </w:style>
  <w:style w:type="paragraph" w:styleId="11">
    <w:name w:val="Plain Text"/>
    <w:basedOn w:val="1"/>
    <w:link w:val="43"/>
    <w:qFormat/>
    <w:uiPriority w:val="99"/>
    <w:rPr>
      <w:rFonts w:ascii="宋体" w:hAnsi="Courier New" w:cs="宋体"/>
    </w:rPr>
  </w:style>
  <w:style w:type="paragraph" w:styleId="12">
    <w:name w:val="Date"/>
    <w:basedOn w:val="1"/>
    <w:next w:val="1"/>
    <w:link w:val="44"/>
    <w:qFormat/>
    <w:uiPriority w:val="99"/>
    <w:pPr>
      <w:ind w:left="100" w:leftChars="2500"/>
    </w:pPr>
    <w:rPr>
      <w:rFonts w:ascii="仿宋_GB2312" w:hAnsi="宋体" w:eastAsia="仿宋_GB2312" w:cs="仿宋_GB2312"/>
      <w:sz w:val="32"/>
      <w:szCs w:val="32"/>
    </w:rPr>
  </w:style>
  <w:style w:type="paragraph" w:styleId="13">
    <w:name w:val="Balloon Text"/>
    <w:basedOn w:val="1"/>
    <w:link w:val="45"/>
    <w:qFormat/>
    <w:uiPriority w:val="99"/>
    <w:rPr>
      <w:rFonts w:ascii="仿宋_GB2312" w:hAnsi="宋体" w:eastAsia="仿宋_GB2312" w:cs="仿宋_GB2312"/>
      <w:sz w:val="18"/>
      <w:szCs w:val="18"/>
    </w:rPr>
  </w:style>
  <w:style w:type="paragraph" w:styleId="14">
    <w:name w:val="footer"/>
    <w:basedOn w:val="1"/>
    <w:link w:val="46"/>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5">
    <w:name w:val="header"/>
    <w:basedOn w:val="1"/>
    <w:link w:val="47"/>
    <w:qFormat/>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styleId="16">
    <w:name w:val="toc 1"/>
    <w:basedOn w:val="1"/>
    <w:next w:val="1"/>
    <w:qFormat/>
    <w:uiPriority w:val="99"/>
    <w:pPr>
      <w:tabs>
        <w:tab w:val="right" w:leader="dot" w:pos="8280"/>
      </w:tabs>
      <w:jc w:val="center"/>
    </w:pPr>
    <w:rPr>
      <w:rFonts w:ascii="黑体" w:hAnsi="黑体" w:eastAsia="黑体" w:cs="黑体"/>
      <w:sz w:val="44"/>
      <w:szCs w:val="44"/>
    </w:rPr>
  </w:style>
  <w:style w:type="paragraph" w:styleId="17">
    <w:name w:val="toc 2"/>
    <w:basedOn w:val="1"/>
    <w:next w:val="1"/>
    <w:qFormat/>
    <w:uiPriority w:val="99"/>
    <w:pPr>
      <w:ind w:left="420" w:leftChars="200"/>
    </w:pPr>
  </w:style>
  <w:style w:type="paragraph" w:styleId="18">
    <w:name w:val="Normal (Web)"/>
    <w:basedOn w:val="1"/>
    <w:qFormat/>
    <w:uiPriority w:val="99"/>
    <w:pPr>
      <w:spacing w:before="100" w:beforeAutospacing="1" w:after="100" w:afterAutospacing="1"/>
      <w:jc w:val="left"/>
    </w:pPr>
    <w:rPr>
      <w:kern w:val="0"/>
      <w:sz w:val="24"/>
      <w:szCs w:val="24"/>
    </w:rPr>
  </w:style>
  <w:style w:type="paragraph" w:styleId="19">
    <w:name w:val="Title"/>
    <w:basedOn w:val="1"/>
    <w:link w:val="48"/>
    <w:qFormat/>
    <w:uiPriority w:val="99"/>
    <w:pPr>
      <w:jc w:val="center"/>
    </w:pPr>
    <w:rPr>
      <w:rFonts w:ascii="方正小标宋简体" w:hAnsi="宋体" w:eastAsia="方正小标宋简体" w:cs="方正小标宋简体"/>
      <w:sz w:val="36"/>
      <w:szCs w:val="36"/>
    </w:rPr>
  </w:style>
  <w:style w:type="paragraph" w:styleId="20">
    <w:name w:val="annotation subject"/>
    <w:basedOn w:val="9"/>
    <w:next w:val="9"/>
    <w:link w:val="71"/>
    <w:qFormat/>
    <w:uiPriority w:val="99"/>
    <w:rPr>
      <w:b/>
      <w:bCs/>
    </w:rPr>
  </w:style>
  <w:style w:type="paragraph" w:styleId="21">
    <w:name w:val="Body Text First Indent"/>
    <w:basedOn w:val="10"/>
    <w:link w:val="40"/>
    <w:qFormat/>
    <w:uiPriority w:val="99"/>
    <w:pPr>
      <w:ind w:firstLine="420" w:firstLineChars="1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5">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6">
    <w:name w:val="Medium Grid 3 Accent 2"/>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7">
    <w:name w:val="Medium Grid 3 Accent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8">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9">
    <w:name w:val="Medium Grid 3 Accent 5"/>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0">
    <w:name w:val="Medium Grid 3 Accent 6"/>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2">
    <w:name w:val="page number"/>
    <w:qFormat/>
    <w:uiPriority w:val="99"/>
    <w:rPr>
      <w:rFonts w:ascii="Times New Roman" w:hAnsi="Times New Roman" w:eastAsia="宋体" w:cs="Times New Roman"/>
    </w:rPr>
  </w:style>
  <w:style w:type="character" w:styleId="33">
    <w:name w:val="Hyperlink"/>
    <w:qFormat/>
    <w:uiPriority w:val="99"/>
    <w:rPr>
      <w:color w:val="0000FF"/>
      <w:u w:val="single"/>
    </w:rPr>
  </w:style>
  <w:style w:type="character" w:customStyle="1" w:styleId="34">
    <w:name w:val="标题 1 Char"/>
    <w:link w:val="4"/>
    <w:qFormat/>
    <w:uiPriority w:val="99"/>
    <w:rPr>
      <w:rFonts w:ascii="黑体" w:hAnsi="黑体" w:eastAsia="黑体" w:cs="黑体"/>
      <w:kern w:val="2"/>
      <w:sz w:val="32"/>
      <w:szCs w:val="32"/>
      <w:lang w:val="en-US" w:eastAsia="zh-CN"/>
    </w:rPr>
  </w:style>
  <w:style w:type="character" w:customStyle="1" w:styleId="35">
    <w:name w:val="标题 2 Char"/>
    <w:link w:val="5"/>
    <w:qFormat/>
    <w:uiPriority w:val="99"/>
    <w:rPr>
      <w:rFonts w:ascii="仿宋_GB2312" w:hAnsi="宋体" w:eastAsia="仿宋_GB2312" w:cs="仿宋_GB2312"/>
      <w:b/>
      <w:bCs/>
      <w:kern w:val="2"/>
      <w:sz w:val="32"/>
      <w:szCs w:val="32"/>
      <w:lang w:val="en-US" w:eastAsia="zh-CN"/>
    </w:rPr>
  </w:style>
  <w:style w:type="character" w:customStyle="1" w:styleId="36">
    <w:name w:val="标题 3 Char"/>
    <w:link w:val="7"/>
    <w:qFormat/>
    <w:uiPriority w:val="99"/>
    <w:rPr>
      <w:rFonts w:ascii="仿宋_GB2312" w:hAnsi="宋体" w:eastAsia="仿宋_GB2312" w:cs="仿宋_GB2312"/>
      <w:b/>
      <w:bCs/>
      <w:kern w:val="2"/>
      <w:sz w:val="32"/>
      <w:szCs w:val="32"/>
    </w:rPr>
  </w:style>
  <w:style w:type="character" w:customStyle="1" w:styleId="37">
    <w:name w:val="正文文本缩进 Char"/>
    <w:link w:val="3"/>
    <w:qFormat/>
    <w:uiPriority w:val="99"/>
    <w:rPr>
      <w:rFonts w:ascii="仿宋_GB2312" w:hAnsi="宋体" w:eastAsia="仿宋_GB2312" w:cs="仿宋_GB2312"/>
      <w:kern w:val="2"/>
      <w:sz w:val="32"/>
      <w:szCs w:val="32"/>
    </w:rPr>
  </w:style>
  <w:style w:type="character" w:customStyle="1" w:styleId="38">
    <w:name w:val="正文首行缩进 2 Char"/>
    <w:link w:val="2"/>
    <w:qFormat/>
    <w:uiPriority w:val="99"/>
    <w:rPr>
      <w:rFonts w:ascii="仿宋_GB2312" w:hAnsi="宋体" w:eastAsia="仿宋_GB2312" w:cs="仿宋_GB2312"/>
      <w:kern w:val="2"/>
      <w:sz w:val="32"/>
      <w:szCs w:val="21"/>
    </w:rPr>
  </w:style>
  <w:style w:type="character" w:customStyle="1" w:styleId="39">
    <w:name w:val="正文文本 Char"/>
    <w:link w:val="10"/>
    <w:qFormat/>
    <w:uiPriority w:val="99"/>
    <w:rPr>
      <w:szCs w:val="21"/>
    </w:rPr>
  </w:style>
  <w:style w:type="character" w:customStyle="1" w:styleId="40">
    <w:name w:val="正文首行缩进 Char"/>
    <w:link w:val="21"/>
    <w:qFormat/>
    <w:uiPriority w:val="99"/>
    <w:rPr>
      <w:szCs w:val="21"/>
    </w:rPr>
  </w:style>
  <w:style w:type="character" w:customStyle="1" w:styleId="41">
    <w:name w:val="文档结构图 Char"/>
    <w:link w:val="8"/>
    <w:qFormat/>
    <w:uiPriority w:val="99"/>
    <w:rPr>
      <w:sz w:val="0"/>
      <w:szCs w:val="0"/>
    </w:rPr>
  </w:style>
  <w:style w:type="character" w:customStyle="1" w:styleId="42">
    <w:name w:val="批注文字 Char"/>
    <w:link w:val="9"/>
    <w:qFormat/>
    <w:uiPriority w:val="99"/>
    <w:rPr>
      <w:kern w:val="2"/>
      <w:sz w:val="24"/>
      <w:szCs w:val="24"/>
    </w:rPr>
  </w:style>
  <w:style w:type="character" w:customStyle="1" w:styleId="43">
    <w:name w:val="纯文本 Char"/>
    <w:link w:val="11"/>
    <w:qFormat/>
    <w:uiPriority w:val="99"/>
    <w:rPr>
      <w:rFonts w:ascii="宋体" w:hAnsi="Courier New" w:cs="Courier New"/>
      <w:szCs w:val="21"/>
    </w:rPr>
  </w:style>
  <w:style w:type="character" w:customStyle="1" w:styleId="44">
    <w:name w:val="日期 Char"/>
    <w:link w:val="12"/>
    <w:qFormat/>
    <w:uiPriority w:val="99"/>
    <w:rPr>
      <w:rFonts w:ascii="仿宋_GB2312" w:hAnsi="宋体" w:eastAsia="仿宋_GB2312" w:cs="仿宋_GB2312"/>
      <w:kern w:val="2"/>
      <w:sz w:val="32"/>
      <w:szCs w:val="32"/>
    </w:rPr>
  </w:style>
  <w:style w:type="character" w:customStyle="1" w:styleId="45">
    <w:name w:val="批注框文本 Char"/>
    <w:link w:val="13"/>
    <w:qFormat/>
    <w:uiPriority w:val="99"/>
    <w:rPr>
      <w:rFonts w:ascii="仿宋_GB2312" w:hAnsi="宋体" w:eastAsia="仿宋_GB2312" w:cs="仿宋_GB2312"/>
      <w:kern w:val="2"/>
      <w:sz w:val="18"/>
      <w:szCs w:val="18"/>
    </w:rPr>
  </w:style>
  <w:style w:type="character" w:customStyle="1" w:styleId="46">
    <w:name w:val="页脚 Char"/>
    <w:link w:val="14"/>
    <w:qFormat/>
    <w:uiPriority w:val="99"/>
    <w:rPr>
      <w:rFonts w:ascii="仿宋_GB2312" w:hAnsi="宋体" w:eastAsia="仿宋_GB2312" w:cs="仿宋_GB2312"/>
      <w:kern w:val="2"/>
      <w:sz w:val="18"/>
      <w:szCs w:val="18"/>
    </w:rPr>
  </w:style>
  <w:style w:type="character" w:customStyle="1" w:styleId="47">
    <w:name w:val="页眉 Char"/>
    <w:link w:val="15"/>
    <w:qFormat/>
    <w:uiPriority w:val="99"/>
    <w:rPr>
      <w:rFonts w:ascii="仿宋_GB2312" w:hAnsi="宋体" w:eastAsia="仿宋_GB2312" w:cs="仿宋_GB2312"/>
      <w:kern w:val="2"/>
      <w:sz w:val="18"/>
      <w:szCs w:val="18"/>
    </w:rPr>
  </w:style>
  <w:style w:type="character" w:customStyle="1" w:styleId="48">
    <w:name w:val="标题 Char"/>
    <w:link w:val="19"/>
    <w:qFormat/>
    <w:uiPriority w:val="99"/>
    <w:rPr>
      <w:rFonts w:ascii="方正小标宋简体" w:hAnsi="宋体" w:eastAsia="方正小标宋简体" w:cs="方正小标宋简体"/>
      <w:kern w:val="2"/>
      <w:sz w:val="36"/>
      <w:szCs w:val="36"/>
      <w:lang w:val="en-US" w:eastAsia="zh-CN"/>
    </w:rPr>
  </w:style>
  <w:style w:type="paragraph" w:customStyle="1" w:styleId="49">
    <w:name w:val="CEE正文"/>
    <w:basedOn w:val="1"/>
    <w:link w:val="65"/>
    <w:qFormat/>
    <w:uiPriority w:val="99"/>
    <w:pPr>
      <w:spacing w:line="360" w:lineRule="auto"/>
    </w:pPr>
    <w:rPr>
      <w:kern w:val="0"/>
      <w:sz w:val="24"/>
      <w:szCs w:val="24"/>
    </w:rPr>
  </w:style>
  <w:style w:type="paragraph" w:customStyle="1" w:styleId="50">
    <w:name w:val="p0"/>
    <w:basedOn w:val="1"/>
    <w:qFormat/>
    <w:uiPriority w:val="99"/>
    <w:pPr>
      <w:widowControl/>
    </w:pPr>
    <w:rPr>
      <w:kern w:val="0"/>
    </w:rPr>
  </w:style>
  <w:style w:type="paragraph" w:customStyle="1" w:styleId="51">
    <w:name w:val="默认段落字体 Para Char Char Char Char"/>
    <w:basedOn w:val="1"/>
    <w:qFormat/>
    <w:uiPriority w:val="99"/>
    <w:pPr>
      <w:spacing w:line="360" w:lineRule="auto"/>
    </w:pPr>
    <w:rPr>
      <w:rFonts w:ascii="宋体" w:cs="宋体"/>
      <w:sz w:val="24"/>
      <w:szCs w:val="24"/>
    </w:rPr>
  </w:style>
  <w:style w:type="paragraph" w:customStyle="1" w:styleId="52">
    <w:name w:val="我的表格"/>
    <w:basedOn w:val="1"/>
    <w:qFormat/>
    <w:uiPriority w:val="99"/>
    <w:pPr>
      <w:autoSpaceDE w:val="0"/>
      <w:autoSpaceDN w:val="0"/>
      <w:adjustRightInd w:val="0"/>
      <w:jc w:val="center"/>
    </w:pPr>
    <w:rPr>
      <w:kern w:val="0"/>
    </w:rPr>
  </w:style>
  <w:style w:type="paragraph" w:customStyle="1" w:styleId="53">
    <w:name w:val="表文字"/>
    <w:basedOn w:val="1"/>
    <w:link w:val="66"/>
    <w:qFormat/>
    <w:uiPriority w:val="99"/>
    <w:pPr>
      <w:topLinePunct/>
      <w:adjustRightInd w:val="0"/>
      <w:spacing w:line="240" w:lineRule="exact"/>
      <w:textAlignment w:val="baseline"/>
    </w:pPr>
    <w:rPr>
      <w:rFonts w:eastAsia="汉鼎简书宋"/>
    </w:rPr>
  </w:style>
  <w:style w:type="paragraph" w:customStyle="1" w:styleId="54">
    <w:name w:val="默认段落字体 Para Char Char Char Char Char Char Char"/>
    <w:basedOn w:val="1"/>
    <w:qFormat/>
    <w:uiPriority w:val="99"/>
  </w:style>
  <w:style w:type="paragraph" w:customStyle="1" w:styleId="55">
    <w:name w:val="正文2"/>
    <w:basedOn w:val="1"/>
    <w:link w:val="64"/>
    <w:qFormat/>
    <w:uiPriority w:val="99"/>
    <w:pPr>
      <w:snapToGrid w:val="0"/>
      <w:spacing w:line="500" w:lineRule="atLeast"/>
      <w:ind w:firstLine="567"/>
    </w:pPr>
    <w:rPr>
      <w:sz w:val="24"/>
      <w:szCs w:val="24"/>
    </w:rPr>
  </w:style>
  <w:style w:type="paragraph" w:customStyle="1" w:styleId="56">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57">
    <w:name w:val="落款"/>
    <w:basedOn w:val="1"/>
    <w:link w:val="63"/>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58">
    <w:name w:val="陈光的正文"/>
    <w:basedOn w:val="1"/>
    <w:link w:val="62"/>
    <w:qFormat/>
    <w:uiPriority w:val="99"/>
    <w:pPr>
      <w:adjustRightInd w:val="0"/>
      <w:snapToGrid w:val="0"/>
      <w:spacing w:beforeLines="10" w:afterLines="10" w:line="360" w:lineRule="auto"/>
      <w:ind w:firstLine="560"/>
    </w:pPr>
    <w:rPr>
      <w:sz w:val="28"/>
      <w:szCs w:val="28"/>
    </w:rPr>
  </w:style>
  <w:style w:type="paragraph" w:customStyle="1" w:styleId="59">
    <w:name w:val="Default"/>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60">
    <w:name w:val="我的正文"/>
    <w:basedOn w:val="1"/>
    <w:qFormat/>
    <w:uiPriority w:val="99"/>
    <w:pPr>
      <w:spacing w:line="312" w:lineRule="auto"/>
    </w:pPr>
    <w:rPr>
      <w:sz w:val="24"/>
      <w:szCs w:val="24"/>
    </w:rPr>
  </w:style>
  <w:style w:type="character" w:customStyle="1" w:styleId="61">
    <w:name w:val="正文缩进 Char"/>
    <w:link w:val="6"/>
    <w:qFormat/>
    <w:uiPriority w:val="99"/>
    <w:rPr>
      <w:rFonts w:ascii="Times New Roman" w:hAnsi="Times New Roman" w:eastAsia="宋体" w:cs="Times New Roman"/>
      <w:kern w:val="2"/>
      <w:sz w:val="24"/>
      <w:szCs w:val="24"/>
    </w:rPr>
  </w:style>
  <w:style w:type="character" w:customStyle="1" w:styleId="62">
    <w:name w:val="陈光的正文 Char Char"/>
    <w:link w:val="58"/>
    <w:qFormat/>
    <w:uiPriority w:val="99"/>
    <w:rPr>
      <w:rFonts w:ascii="Times New Roman" w:hAnsi="Times New Roman" w:eastAsia="宋体" w:cs="Times New Roman"/>
      <w:kern w:val="2"/>
      <w:sz w:val="28"/>
      <w:szCs w:val="28"/>
    </w:rPr>
  </w:style>
  <w:style w:type="character" w:customStyle="1" w:styleId="63">
    <w:name w:val="落款 Char"/>
    <w:link w:val="57"/>
    <w:qFormat/>
    <w:uiPriority w:val="99"/>
    <w:rPr>
      <w:rFonts w:ascii="仿宋_GB2312" w:hAnsi="宋体" w:eastAsia="仿宋_GB2312" w:cs="仿宋_GB2312"/>
      <w:kern w:val="2"/>
      <w:sz w:val="32"/>
      <w:szCs w:val="32"/>
      <w:lang w:val="en-US" w:eastAsia="zh-CN"/>
    </w:rPr>
  </w:style>
  <w:style w:type="character" w:customStyle="1" w:styleId="64">
    <w:name w:val="正文2 Char Char"/>
    <w:link w:val="55"/>
    <w:qFormat/>
    <w:uiPriority w:val="99"/>
    <w:rPr>
      <w:rFonts w:ascii="Times New Roman" w:hAnsi="Times New Roman" w:eastAsia="宋体" w:cs="Times New Roman"/>
      <w:kern w:val="2"/>
      <w:sz w:val="24"/>
      <w:szCs w:val="24"/>
      <w:lang w:val="en-US" w:eastAsia="zh-CN"/>
    </w:rPr>
  </w:style>
  <w:style w:type="character" w:customStyle="1" w:styleId="65">
    <w:name w:val="CEE正文 Char"/>
    <w:link w:val="49"/>
    <w:qFormat/>
    <w:uiPriority w:val="99"/>
    <w:rPr>
      <w:rFonts w:ascii="Times New Roman" w:hAnsi="Times New Roman" w:eastAsia="宋体" w:cs="Times New Roman"/>
      <w:sz w:val="24"/>
      <w:szCs w:val="24"/>
    </w:rPr>
  </w:style>
  <w:style w:type="character" w:customStyle="1" w:styleId="66">
    <w:name w:val="表文字 Char"/>
    <w:link w:val="53"/>
    <w:qFormat/>
    <w:uiPriority w:val="99"/>
    <w:rPr>
      <w:rFonts w:ascii="Times New Roman" w:hAnsi="Times New Roman" w:eastAsia="汉鼎简书宋" w:cs="Times New Roman"/>
      <w:kern w:val="2"/>
      <w:sz w:val="21"/>
      <w:szCs w:val="21"/>
      <w:lang w:val="en-US" w:eastAsia="zh-CN"/>
    </w:rPr>
  </w:style>
  <w:style w:type="paragraph" w:customStyle="1" w:styleId="67">
    <w:name w:val="普通(网站)1"/>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69">
    <w:name w:val="List Paragraph"/>
    <w:basedOn w:val="1"/>
    <w:qFormat/>
    <w:uiPriority w:val="99"/>
    <w:pPr>
      <w:ind w:firstLine="420" w:firstLineChars="200"/>
    </w:pPr>
  </w:style>
  <w:style w:type="paragraph" w:customStyle="1" w:styleId="70">
    <w:name w:val="文字描述"/>
    <w:basedOn w:val="1"/>
    <w:qFormat/>
    <w:uiPriority w:val="99"/>
    <w:pPr>
      <w:adjustRightInd w:val="0"/>
      <w:snapToGrid w:val="0"/>
      <w:spacing w:line="360" w:lineRule="auto"/>
      <w:ind w:firstLine="200" w:firstLineChars="200"/>
    </w:pPr>
    <w:rPr>
      <w:spacing w:val="-2"/>
      <w:sz w:val="24"/>
      <w:szCs w:val="24"/>
    </w:rPr>
  </w:style>
  <w:style w:type="character" w:customStyle="1" w:styleId="71">
    <w:name w:val="批注主题 Char"/>
    <w:link w:val="20"/>
    <w:qFormat/>
    <w:uiPriority w:val="99"/>
    <w:rPr>
      <w:b/>
      <w:bCs/>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HaoXiTong.com</Company>
  <Pages>6</Pages>
  <Words>2489</Words>
  <Characters>2700</Characters>
  <Paragraphs>112</Paragraphs>
  <TotalTime>8</TotalTime>
  <ScaleCrop>false</ScaleCrop>
  <LinksUpToDate>false</LinksUpToDate>
  <CharactersWithSpaces>2712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2018-10-07T01:15:00Z</dcterms:created>
  <dc:creator>Administrator</dc:creator>
  <cp:lastModifiedBy>电镀青岛</cp:lastModifiedBy>
  <cp:lastPrinted>2017-12-23T10:27:00Z</cp:lastPrinted>
  <dcterms:modified xsi:type="dcterms:W3CDTF">2022-10-09T03:19:16Z</dcterms:modified>
  <dc:title>湛江奥里油发电厂（2×600兆瓦）油改煤工程</dc:title>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E9E3DA924EB74F8EA24FB59E7ABFDA0D</vt:lpwstr>
  </property>
</Properties>
</file>