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5C36B7">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lang w:eastAsia="zh-CN"/>
        </w:rPr>
      </w:pPr>
      <w:r>
        <w:rPr>
          <w:rFonts w:hint="eastAsia" w:ascii="Times New Roman" w:hAnsi="Times New Roman" w:cs="Times New Roman" w:eastAsiaTheme="majorEastAsia"/>
          <w:b/>
          <w:bCs/>
          <w:sz w:val="28"/>
          <w:szCs w:val="28"/>
          <w:lang w:eastAsia="zh-CN"/>
        </w:rPr>
        <w:t>茌平信源环保建材有限公司脱硫石膏资源综合利用扩建项目</w:t>
      </w:r>
    </w:p>
    <w:p w14:paraId="3034490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rPr>
      </w:pPr>
      <w:r>
        <w:rPr>
          <w:rFonts w:hint="default" w:ascii="Times New Roman" w:hAnsi="Times New Roman" w:cs="Times New Roman" w:eastAsiaTheme="majorEastAsia"/>
          <w:b/>
          <w:bCs/>
          <w:sz w:val="28"/>
          <w:szCs w:val="28"/>
          <w:lang w:eastAsia="zh-CN"/>
        </w:rPr>
        <w:t>竣</w:t>
      </w:r>
      <w:r>
        <w:rPr>
          <w:rFonts w:hint="default" w:ascii="Times New Roman" w:hAnsi="Times New Roman" w:cs="Times New Roman" w:eastAsiaTheme="majorEastAsia"/>
          <w:b/>
          <w:bCs/>
          <w:sz w:val="28"/>
          <w:szCs w:val="28"/>
        </w:rPr>
        <w:t>工环境保护验收检查意见</w:t>
      </w:r>
    </w:p>
    <w:p w14:paraId="7C3E062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highlight w:val="none"/>
        </w:rPr>
        <w:t>20</w:t>
      </w:r>
      <w:r>
        <w:rPr>
          <w:rFonts w:hint="eastAsia" w:ascii="Times New Roman" w:hAnsi="Times New Roman" w:cs="Times New Roman" w:eastAsiaTheme="minorEastAsia"/>
          <w:sz w:val="24"/>
          <w:szCs w:val="24"/>
          <w:highlight w:val="none"/>
          <w:lang w:val="en-US" w:eastAsia="zh-CN"/>
        </w:rPr>
        <w:t>25</w:t>
      </w:r>
      <w:r>
        <w:rPr>
          <w:rFonts w:hint="default" w:ascii="Times New Roman" w:hAnsi="Times New Roman" w:cs="Times New Roman" w:eastAsiaTheme="minorEastAsia"/>
          <w:sz w:val="24"/>
          <w:szCs w:val="24"/>
          <w:highlight w:val="none"/>
        </w:rPr>
        <w:t>年</w:t>
      </w:r>
      <w:r>
        <w:rPr>
          <w:rFonts w:hint="eastAsia" w:ascii="Times New Roman" w:hAnsi="Times New Roman" w:cs="Times New Roman" w:eastAsiaTheme="minorEastAsia"/>
          <w:sz w:val="24"/>
          <w:szCs w:val="24"/>
          <w:highlight w:val="none"/>
          <w:lang w:val="en-US" w:eastAsia="zh-CN"/>
        </w:rPr>
        <w:t>01</w:t>
      </w:r>
      <w:r>
        <w:rPr>
          <w:rFonts w:hint="default" w:ascii="Times New Roman" w:hAnsi="Times New Roman" w:cs="Times New Roman" w:eastAsiaTheme="minorEastAsia"/>
          <w:sz w:val="24"/>
          <w:szCs w:val="24"/>
          <w:highlight w:val="none"/>
        </w:rPr>
        <w:t>月</w:t>
      </w:r>
      <w:r>
        <w:rPr>
          <w:rFonts w:hint="eastAsia" w:ascii="Times New Roman" w:hAnsi="Times New Roman" w:cs="Times New Roman" w:eastAsiaTheme="minorEastAsia"/>
          <w:color w:val="0000FF"/>
          <w:sz w:val="24"/>
          <w:szCs w:val="24"/>
          <w:highlight w:val="none"/>
          <w:lang w:val="en-US" w:eastAsia="zh-CN"/>
        </w:rPr>
        <w:t>12</w:t>
      </w:r>
      <w:r>
        <w:rPr>
          <w:rFonts w:hint="default" w:ascii="Times New Roman" w:hAnsi="Times New Roman" w:cs="Times New Roman" w:eastAsiaTheme="minorEastAsia"/>
          <w:sz w:val="24"/>
          <w:szCs w:val="24"/>
          <w:highlight w:val="none"/>
        </w:rPr>
        <w:t>日，</w:t>
      </w:r>
      <w:r>
        <w:rPr>
          <w:rFonts w:hint="eastAsia" w:ascii="Times New Roman" w:hAnsi="Times New Roman"/>
          <w:color w:val="auto"/>
          <w:sz w:val="24"/>
          <w:szCs w:val="24"/>
          <w:lang w:eastAsia="zh-CN"/>
        </w:rPr>
        <w:t>茌平信源环保建材有限公司</w:t>
      </w:r>
      <w:r>
        <w:rPr>
          <w:rFonts w:hint="default" w:ascii="Times New Roman" w:hAnsi="Times New Roman" w:cs="Times New Roman" w:eastAsiaTheme="minorEastAsia"/>
          <w:sz w:val="24"/>
          <w:szCs w:val="24"/>
        </w:rPr>
        <w:t>组织召开了</w:t>
      </w:r>
      <w:r>
        <w:rPr>
          <w:rFonts w:hint="eastAsia" w:ascii="Times New Roman" w:hAnsi="Times New Roman" w:cs="Times New Roman"/>
          <w:color w:val="auto"/>
          <w:sz w:val="24"/>
          <w:szCs w:val="24"/>
          <w:highlight w:val="none"/>
          <w:lang w:val="en-US" w:eastAsia="zh-CN"/>
        </w:rPr>
        <w:t>茌平信源环保建材有限公司脱硫石膏资源综合利用扩建项目</w:t>
      </w:r>
      <w:r>
        <w:rPr>
          <w:rFonts w:hint="default" w:ascii="Times New Roman" w:hAnsi="Times New Roman" w:cs="Times New Roman" w:eastAsiaTheme="minorEastAsia"/>
          <w:sz w:val="24"/>
          <w:szCs w:val="24"/>
        </w:rPr>
        <w:t>竣工环境保护验收现场检查会。验收组由工程建设单位（</w:t>
      </w:r>
      <w:r>
        <w:rPr>
          <w:rFonts w:hint="eastAsia" w:ascii="Times New Roman" w:hAnsi="Times New Roman"/>
          <w:color w:val="auto"/>
          <w:sz w:val="24"/>
          <w:szCs w:val="24"/>
          <w:lang w:eastAsia="zh-CN"/>
        </w:rPr>
        <w:t>茌平信源环保建材有限公司</w:t>
      </w:r>
      <w:r>
        <w:rPr>
          <w:rFonts w:hint="default" w:ascii="Times New Roman" w:hAnsi="Times New Roman" w:cs="Times New Roman" w:eastAsiaTheme="minorEastAsia"/>
          <w:sz w:val="24"/>
          <w:szCs w:val="24"/>
        </w:rPr>
        <w:t>）、验收监测报告编制单位并特邀</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rPr>
        <w:t>名专家组成。验收组现场查阅并核实了项目环保工作落实情况，根据验收监测报告并对照《建设项目环境保护管理条例》、《建设项目竣工环境保护验收暂行办法》，依照有关法律法规、本项目环境影响评价报告书及其批复等要求对本项目进行验收。经认真研究，形成如下验收意见：</w:t>
      </w:r>
    </w:p>
    <w:p w14:paraId="2C8545C5">
      <w:pPr>
        <w:keepNext w:val="0"/>
        <w:keepLines w:val="0"/>
        <w:pageBreakBefore w:val="0"/>
        <w:kinsoku/>
        <w:wordWrap/>
        <w:overflowPunct/>
        <w:topLinePunct w:val="0"/>
        <w:bidi w:val="0"/>
        <w:spacing w:line="560" w:lineRule="exact"/>
        <w:ind w:firstLine="551" w:firstLineChars="196"/>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一、工程建设基本情况</w:t>
      </w:r>
    </w:p>
    <w:p w14:paraId="3D8A2E15">
      <w:pPr>
        <w:keepNext w:val="0"/>
        <w:keepLines w:val="0"/>
        <w:pageBreakBefore w:val="0"/>
        <w:kinsoku/>
        <w:wordWrap/>
        <w:overflowPunct/>
        <w:topLinePunct w:val="0"/>
        <w:bidi w:val="0"/>
        <w:spacing w:line="560" w:lineRule="exact"/>
        <w:ind w:firstLine="56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（一）建设地点、规模、主要建设内容</w:t>
      </w:r>
    </w:p>
    <w:p w14:paraId="10B3F522">
      <w:pPr>
        <w:widowControl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茌平信源环保建材有限公司，成立于2017年，位于山东省聊城市，是一家以非金属矿物制品业为主的企业。建设项目为《茌平信源环保建材有限公司脱硫石膏资源综合利用扩建项目》，项目位于山东省聊城市茌平区信发街道济邯铁路北，老105国道西（东经116度12分50.243秒，北纬36度36分40.540秒），项目占地面积14674平方米（土地性质为工业用地）。本项目为扩建项目，对现有年产200万吨脱硫石膏资源综合利用项目进行技术改造并扩建5条生产线，根据设备生产企业提供的技术参数，圆盘干燥机（SDK-370D）生产能力为24t/h（干料），流化煅烧炉（SGF3443）生产能力为40t/h（干料）为控制产能的主要生产设备。项目年</w:t>
      </w:r>
      <w:r>
        <w:rPr>
          <w:rFonts w:hint="eastAsia" w:ascii="Times New Roman" w:hAnsi="Times New Roman" w:cs="Times New Roman"/>
          <w:color w:val="auto"/>
          <w:sz w:val="24"/>
          <w:szCs w:val="24"/>
          <w:highlight w:val="none"/>
          <w:lang w:val="en-US" w:eastAsia="zh-CN"/>
        </w:rPr>
        <w:t>实际</w:t>
      </w:r>
      <w:r>
        <w:rPr>
          <w:rFonts w:hint="eastAsia" w:ascii="Times New Roman" w:hAnsi="Times New Roman" w:eastAsia="宋体" w:cs="Times New Roman"/>
          <w:color w:val="auto"/>
          <w:sz w:val="24"/>
          <w:szCs w:val="24"/>
          <w:highlight w:val="none"/>
          <w:lang w:eastAsia="zh-CN"/>
        </w:rPr>
        <w:t>工作时间为</w:t>
      </w:r>
      <w:r>
        <w:rPr>
          <w:rFonts w:hint="eastAsia" w:ascii="Times New Roman" w:hAnsi="Times New Roman" w:eastAsia="宋体" w:cs="Times New Roman"/>
          <w:color w:val="0000FF"/>
          <w:sz w:val="24"/>
          <w:szCs w:val="24"/>
          <w:highlight w:val="none"/>
          <w:lang w:val="en-US" w:eastAsia="zh-CN"/>
        </w:rPr>
        <w:t>7192</w:t>
      </w:r>
      <w:r>
        <w:rPr>
          <w:rFonts w:hint="eastAsia" w:ascii="Times New Roman" w:hAnsi="Times New Roman" w:eastAsia="宋体" w:cs="Times New Roman"/>
          <w:color w:val="auto"/>
          <w:sz w:val="24"/>
          <w:szCs w:val="24"/>
          <w:highlight w:val="none"/>
          <w:lang w:eastAsia="zh-CN"/>
        </w:rPr>
        <w:t>h，经改扩建后，项目可实现新增年产95万吨建筑石膏粉的生产能力。本项目改造在原有车间内完成，不新增占地及建筑物。新增5条生产线，主要购置变频器、换热器管排、余热回收装置、链式清扫器、斗式提升机、煅烧炉、圆盘干燥机、球磨机、伸缩皮带机、密集辊皮带机、除铁器及成品仓等生产和辅助设备共计180台（套），项目建成后可实现新增年产95万吨建筑石膏粉的生产能力</w:t>
      </w:r>
      <w:r>
        <w:rPr>
          <w:rFonts w:hint="eastAsia" w:ascii="Times New Roman" w:hAnsi="Times New Roman" w:eastAsia="宋体" w:cs="Times New Roman"/>
          <w:color w:val="auto"/>
          <w:sz w:val="24"/>
          <w:szCs w:val="24"/>
          <w:highlight w:val="none"/>
          <w:lang w:val="en-US" w:eastAsia="zh-CN"/>
        </w:rPr>
        <w:t>。</w:t>
      </w:r>
    </w:p>
    <w:p w14:paraId="506855A0">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（二）建设过程及环保审批情况</w:t>
      </w:r>
    </w:p>
    <w:p w14:paraId="69AAB5DA">
      <w:pPr>
        <w:widowControl w:val="0"/>
        <w:spacing w:line="360" w:lineRule="auto"/>
        <w:ind w:firstLine="480" w:firstLineChars="200"/>
        <w:jc w:val="left"/>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202</w:t>
      </w:r>
      <w:r>
        <w:rPr>
          <w:rFonts w:hint="eastAsia" w:ascii="Times New Roman" w:hAnsi="Times New Roman" w:eastAsia="宋体"/>
          <w:color w:val="auto"/>
          <w:sz w:val="24"/>
          <w:szCs w:val="24"/>
          <w:highlight w:val="none"/>
          <w:lang w:val="en-US" w:eastAsia="zh-CN"/>
        </w:rPr>
        <w:t>4</w:t>
      </w:r>
      <w:r>
        <w:rPr>
          <w:rFonts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5</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eastAsia="zh-CN"/>
        </w:rPr>
        <w:t>茌平信源环保建材有限公司</w:t>
      </w:r>
      <w:r>
        <w:rPr>
          <w:rFonts w:ascii="Times New Roman" w:hAnsi="Times New Roman" w:eastAsia="宋体"/>
          <w:color w:val="auto"/>
          <w:sz w:val="24"/>
          <w:szCs w:val="24"/>
          <w:highlight w:val="none"/>
        </w:rPr>
        <w:t>委托</w:t>
      </w:r>
      <w:r>
        <w:rPr>
          <w:rFonts w:hint="eastAsia" w:ascii="Times New Roman" w:hAnsi="Times New Roman" w:eastAsia="宋体"/>
          <w:color w:val="auto"/>
          <w:sz w:val="24"/>
          <w:szCs w:val="24"/>
          <w:highlight w:val="none"/>
          <w:lang w:eastAsia="zh-CN"/>
        </w:rPr>
        <w:t>山东民通环境安全科技有限公司</w:t>
      </w:r>
      <w:r>
        <w:rPr>
          <w:rFonts w:ascii="Times New Roman" w:hAnsi="Times New Roman" w:eastAsia="宋体"/>
          <w:color w:val="auto"/>
          <w:sz w:val="24"/>
          <w:szCs w:val="24"/>
          <w:highlight w:val="none"/>
        </w:rPr>
        <w:t>编制《</w:t>
      </w:r>
      <w:r>
        <w:rPr>
          <w:rFonts w:hint="eastAsia" w:ascii="Times New Roman" w:hAnsi="Times New Roman" w:eastAsia="宋体"/>
          <w:color w:val="auto"/>
          <w:sz w:val="24"/>
          <w:szCs w:val="24"/>
          <w:highlight w:val="none"/>
          <w:lang w:eastAsia="zh-CN"/>
        </w:rPr>
        <w:t>茌平信源环保建材有限公司脱硫石膏资源综合利用扩建项目</w:t>
      </w:r>
      <w:r>
        <w:rPr>
          <w:rFonts w:ascii="Times New Roman" w:hAnsi="Times New Roman" w:eastAsia="宋体"/>
          <w:color w:val="auto"/>
          <w:sz w:val="24"/>
          <w:szCs w:val="24"/>
          <w:highlight w:val="none"/>
        </w:rPr>
        <w:t>环境影响报告表》，202</w:t>
      </w:r>
      <w:r>
        <w:rPr>
          <w:rFonts w:hint="eastAsia" w:ascii="Times New Roman" w:hAnsi="Times New Roman" w:eastAsia="宋体"/>
          <w:color w:val="auto"/>
          <w:sz w:val="24"/>
          <w:szCs w:val="24"/>
          <w:highlight w:val="none"/>
          <w:lang w:val="en-US" w:eastAsia="zh-CN"/>
        </w:rPr>
        <w:t>4</w:t>
      </w:r>
      <w:r>
        <w:rPr>
          <w:rFonts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6</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25</w:t>
      </w:r>
      <w:r>
        <w:rPr>
          <w:rFonts w:ascii="Times New Roman" w:hAnsi="Times New Roman" w:eastAsia="宋体"/>
          <w:color w:val="auto"/>
          <w:sz w:val="24"/>
          <w:szCs w:val="24"/>
          <w:highlight w:val="none"/>
        </w:rPr>
        <w:t>日聊城市茌平区行政审批服务局以</w:t>
      </w:r>
      <w:r>
        <w:rPr>
          <w:rFonts w:hint="eastAsia" w:ascii="Times New Roman" w:hAnsi="Times New Roman" w:eastAsia="宋体"/>
          <w:color w:val="auto"/>
          <w:sz w:val="24"/>
          <w:szCs w:val="24"/>
          <w:highlight w:val="none"/>
          <w:lang w:eastAsia="zh-CN"/>
        </w:rPr>
        <w:t>聊茌行审环管〔202</w:t>
      </w: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66</w:t>
      </w:r>
      <w:r>
        <w:rPr>
          <w:rFonts w:hint="eastAsia" w:ascii="Times New Roman" w:hAnsi="Times New Roman" w:eastAsia="宋体"/>
          <w:color w:val="auto"/>
          <w:sz w:val="24"/>
          <w:szCs w:val="24"/>
          <w:highlight w:val="none"/>
          <w:lang w:eastAsia="zh-CN"/>
        </w:rPr>
        <w:t>号</w:t>
      </w:r>
      <w:r>
        <w:rPr>
          <w:rFonts w:hint="eastAsia" w:ascii="Times New Roman" w:hAnsi="Times New Roman" w:eastAsia="宋体"/>
          <w:color w:val="auto"/>
          <w:sz w:val="24"/>
          <w:szCs w:val="24"/>
          <w:highlight w:val="none"/>
        </w:rPr>
        <w:t>文</w:t>
      </w:r>
      <w:r>
        <w:rPr>
          <w:rFonts w:ascii="Times New Roman" w:hAnsi="Times New Roman" w:eastAsia="宋体"/>
          <w:color w:val="auto"/>
          <w:sz w:val="24"/>
          <w:szCs w:val="24"/>
          <w:highlight w:val="none"/>
        </w:rPr>
        <w:t>对该项目进行了批复。</w:t>
      </w:r>
    </w:p>
    <w:p w14:paraId="4F99D1DF">
      <w:pPr>
        <w:widowControl w:val="0"/>
        <w:spacing w:line="360" w:lineRule="auto"/>
        <w:ind w:firstLine="480" w:firstLineChars="200"/>
        <w:jc w:val="left"/>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2024年12月，</w:t>
      </w:r>
      <w:r>
        <w:rPr>
          <w:rFonts w:hint="eastAsia" w:ascii="Times New Roman" w:hAnsi="Times New Roman" w:eastAsia="宋体" w:cs="Times New Roman"/>
          <w:color w:val="auto"/>
          <w:sz w:val="24"/>
          <w:szCs w:val="24"/>
          <w:highlight w:val="none"/>
          <w:lang w:eastAsia="zh-CN"/>
        </w:rPr>
        <w:t>茌平信源环保建材有限公司</w:t>
      </w:r>
      <w:r>
        <w:rPr>
          <w:rFonts w:ascii="Times New Roman" w:hAnsi="Times New Roman" w:eastAsia="宋体" w:cs="Times New Roman"/>
          <w:color w:val="auto"/>
          <w:sz w:val="24"/>
          <w:szCs w:val="24"/>
          <w:highlight w:val="none"/>
        </w:rPr>
        <w:t>委托</w:t>
      </w:r>
      <w:r>
        <w:rPr>
          <w:rFonts w:hint="eastAsia" w:ascii="Times New Roman" w:hAnsi="Times New Roman" w:eastAsia="宋体" w:cs="Times New Roman"/>
          <w:color w:val="auto"/>
          <w:sz w:val="24"/>
          <w:szCs w:val="24"/>
          <w:highlight w:val="none"/>
          <w:lang w:eastAsia="zh-CN"/>
        </w:rPr>
        <w:t>山东玖玺环保科技有限公司</w:t>
      </w:r>
      <w:r>
        <w:rPr>
          <w:rFonts w:ascii="Times New Roman" w:hAnsi="Times New Roman" w:eastAsia="宋体" w:cs="Times New Roman"/>
          <w:color w:val="auto"/>
          <w:sz w:val="24"/>
          <w:szCs w:val="24"/>
          <w:highlight w:val="none"/>
        </w:rPr>
        <w:t>于202</w:t>
      </w:r>
      <w:r>
        <w:rPr>
          <w:rFonts w:hint="eastAsia" w:ascii="Times New Roman" w:hAnsi="Times New Roman" w:eastAsia="宋体" w:cs="Times New Roman"/>
          <w:color w:val="auto"/>
          <w:sz w:val="24"/>
          <w:szCs w:val="24"/>
          <w:highlight w:val="none"/>
          <w:lang w:val="en-US" w:eastAsia="zh-CN"/>
        </w:rPr>
        <w:t>4</w:t>
      </w:r>
      <w:r>
        <w:rPr>
          <w:rFonts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18</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19</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20</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ascii="Times New Roman" w:hAnsi="Times New Roman" w:eastAsia="宋体" w:cs="Times New Roman"/>
          <w:color w:val="auto"/>
          <w:sz w:val="24"/>
          <w:szCs w:val="24"/>
          <w:highlight w:val="none"/>
        </w:rPr>
        <w:t>日对</w:t>
      </w:r>
      <w:r>
        <w:rPr>
          <w:rFonts w:hint="eastAsia" w:ascii="Times New Roman" w:hAnsi="Times New Roman" w:eastAsia="宋体" w:cs="Times New Roman"/>
          <w:color w:val="auto"/>
          <w:sz w:val="24"/>
          <w:szCs w:val="24"/>
          <w:highlight w:val="none"/>
          <w:lang w:eastAsia="zh-CN"/>
        </w:rPr>
        <w:t>茌平信源环保建材有限公司脱硫石膏资源综合利用扩建项目</w:t>
      </w:r>
      <w:r>
        <w:rPr>
          <w:rFonts w:ascii="Times New Roman" w:hAnsi="Times New Roman" w:eastAsia="宋体" w:cs="Times New Roman"/>
          <w:color w:val="auto"/>
          <w:sz w:val="24"/>
          <w:szCs w:val="24"/>
          <w:highlight w:val="none"/>
        </w:rPr>
        <w:t>进行了验收检测。后对检测数据进行分析论证，在此基础上完成了项目竣工环境保护验收监测报告表的编制。</w:t>
      </w:r>
      <w:r>
        <w:rPr>
          <w:rFonts w:hint="eastAsia" w:ascii="Times New Roman" w:hAnsi="Times New Roman" w:eastAsia="宋体" w:cs="Times New Roman"/>
          <w:color w:val="auto"/>
          <w:sz w:val="24"/>
          <w:szCs w:val="24"/>
          <w:highlight w:val="none"/>
          <w:lang w:eastAsia="zh-CN"/>
        </w:rPr>
        <w:t>本次项目验收范围为茌平信源环保建材有限公司年产95万吨脱硫石膏资源综合利用扩建项目。</w:t>
      </w:r>
      <w:r>
        <w:rPr>
          <w:rFonts w:hint="eastAsia" w:ascii="Times New Roman" w:hAnsi="Times New Roman" w:eastAsia="宋体"/>
          <w:color w:val="auto"/>
          <w:sz w:val="24"/>
          <w:szCs w:val="24"/>
          <w:highlight w:val="none"/>
        </w:rPr>
        <w:t>202</w:t>
      </w:r>
      <w:r>
        <w:rPr>
          <w:rFonts w:hint="eastAsia" w:ascii="Times New Roman" w:hAnsi="Times New Roman" w:eastAsia="宋体"/>
          <w:color w:val="auto"/>
          <w:sz w:val="24"/>
          <w:szCs w:val="24"/>
          <w:highlight w:val="none"/>
          <w:lang w:val="en-US" w:eastAsia="zh-CN"/>
        </w:rPr>
        <w:t>5</w:t>
      </w:r>
      <w:r>
        <w:rPr>
          <w:rFonts w:hint="eastAsia"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01</w:t>
      </w:r>
      <w:r>
        <w:rPr>
          <w:rFonts w:hint="eastAsia"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eastAsia="zh-CN"/>
        </w:rPr>
        <w:t>茌平信源环保建材有限公司</w:t>
      </w:r>
      <w:r>
        <w:rPr>
          <w:rFonts w:hint="eastAsia" w:ascii="Times New Roman" w:hAnsi="Times New Roman" w:eastAsia="宋体"/>
          <w:color w:val="auto"/>
          <w:sz w:val="24"/>
          <w:szCs w:val="24"/>
          <w:highlight w:val="none"/>
        </w:rPr>
        <w:t>委托</w:t>
      </w:r>
      <w:r>
        <w:rPr>
          <w:rFonts w:hint="eastAsia" w:ascii="Times New Roman" w:hAnsi="Times New Roman" w:eastAsia="宋体"/>
          <w:color w:val="auto"/>
          <w:sz w:val="24"/>
          <w:szCs w:val="24"/>
          <w:highlight w:val="none"/>
          <w:lang w:eastAsia="zh-CN"/>
        </w:rPr>
        <w:t>山东玖玺环保科技有限公司</w:t>
      </w:r>
      <w:r>
        <w:rPr>
          <w:rFonts w:hint="eastAsia" w:ascii="Times New Roman" w:hAnsi="Times New Roman" w:eastAsia="宋体"/>
          <w:color w:val="auto"/>
          <w:sz w:val="24"/>
          <w:szCs w:val="24"/>
          <w:highlight w:val="none"/>
        </w:rPr>
        <w:t>对</w:t>
      </w:r>
      <w:r>
        <w:rPr>
          <w:rFonts w:hint="eastAsia" w:ascii="Times New Roman" w:hAnsi="Times New Roman" w:eastAsia="宋体"/>
          <w:color w:val="auto"/>
          <w:sz w:val="24"/>
          <w:szCs w:val="24"/>
          <w:highlight w:val="none"/>
          <w:lang w:eastAsia="zh-CN"/>
        </w:rPr>
        <w:t>茌平信源环保建材有限公司脱硫石膏资源综合利用扩建项目</w:t>
      </w:r>
      <w:r>
        <w:rPr>
          <w:rFonts w:hint="eastAsia" w:ascii="Times New Roman" w:hAnsi="Times New Roman" w:eastAsia="宋体"/>
          <w:color w:val="auto"/>
          <w:sz w:val="24"/>
          <w:szCs w:val="24"/>
          <w:highlight w:val="none"/>
        </w:rPr>
        <w:t>进行自主验收并验收通过。2024年</w:t>
      </w:r>
      <w:r>
        <w:rPr>
          <w:rFonts w:hint="eastAsia" w:ascii="Times New Roman" w:hAnsi="Times New Roman" w:eastAsia="宋体"/>
          <w:color w:val="auto"/>
          <w:sz w:val="24"/>
          <w:szCs w:val="24"/>
          <w:highlight w:val="none"/>
          <w:lang w:val="en-US" w:eastAsia="zh-CN"/>
        </w:rPr>
        <w:t>01</w:t>
      </w:r>
      <w:r>
        <w:rPr>
          <w:rFonts w:hint="eastAsia" w:ascii="Times New Roman" w:hAnsi="Times New Roman" w:eastAsia="宋体"/>
          <w:color w:val="auto"/>
          <w:sz w:val="24"/>
          <w:szCs w:val="24"/>
          <w:highlight w:val="none"/>
        </w:rPr>
        <w:t>月</w:t>
      </w:r>
      <w:r>
        <w:rPr>
          <w:rFonts w:hint="eastAsia" w:ascii="Times New Roman" w:hAnsi="Times New Roman"/>
          <w:color w:val="0000FF"/>
          <w:sz w:val="24"/>
          <w:szCs w:val="24"/>
          <w:highlight w:val="none"/>
          <w:lang w:val="en-US" w:eastAsia="zh-CN"/>
        </w:rPr>
        <w:t>12</w:t>
      </w:r>
      <w:r>
        <w:rPr>
          <w:rFonts w:hint="eastAsia" w:ascii="Times New Roman" w:hAnsi="Times New Roman" w:eastAsia="宋体"/>
          <w:color w:val="auto"/>
          <w:sz w:val="24"/>
          <w:szCs w:val="24"/>
          <w:highlight w:val="none"/>
        </w:rPr>
        <w:t>日茌平信源环保建材有限公司组织召开了茌平信源环保建材有限公司脱硫石膏资源综合利用扩建项目竣工环境保护验收现场检查会并会议通过。</w:t>
      </w:r>
    </w:p>
    <w:p w14:paraId="372A944C">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（三）投资情况</w:t>
      </w:r>
    </w:p>
    <w:p w14:paraId="543B4A9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项目总投资</w:t>
      </w:r>
      <w:r>
        <w:rPr>
          <w:rFonts w:hint="eastAsia" w:ascii="Times New Roman" w:hAnsi="Times New Roman" w:cs="Times New Roman" w:eastAsiaTheme="minorEastAsia"/>
          <w:sz w:val="24"/>
          <w:szCs w:val="24"/>
          <w:lang w:val="en-US" w:eastAsia="zh-CN"/>
        </w:rPr>
        <w:t>5000万</w:t>
      </w:r>
      <w:r>
        <w:rPr>
          <w:rFonts w:hint="eastAsia" w:asciiTheme="minorEastAsia" w:hAnsiTheme="minorEastAsia" w:eastAsiaTheme="minorEastAsia" w:cstheme="minorEastAsia"/>
          <w:sz w:val="24"/>
          <w:szCs w:val="24"/>
        </w:rPr>
        <w:t>元，环保投资</w:t>
      </w:r>
      <w:r>
        <w:rPr>
          <w:rFonts w:hint="eastAsia" w:ascii="Times New Roman" w:hAnsi="Times New Roman" w:cs="Times New Roman" w:eastAsiaTheme="minorEastAsia"/>
          <w:sz w:val="24"/>
          <w:szCs w:val="24"/>
          <w:lang w:val="en-US" w:eastAsia="zh-CN"/>
        </w:rPr>
        <w:t>225</w:t>
      </w:r>
      <w:r>
        <w:rPr>
          <w:rFonts w:hint="eastAsia" w:asciiTheme="minorEastAsia" w:hAnsiTheme="minorEastAsia" w:eastAsiaTheme="minorEastAsia" w:cstheme="minorEastAsia"/>
          <w:sz w:val="24"/>
          <w:szCs w:val="24"/>
        </w:rPr>
        <w:t>万元。</w:t>
      </w:r>
    </w:p>
    <w:p w14:paraId="7906BB07">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（四）验收范围</w:t>
      </w:r>
    </w:p>
    <w:p w14:paraId="05DD872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lang w:val="en-US"/>
        </w:rPr>
      </w:pPr>
      <w:r>
        <w:rPr>
          <w:rFonts w:hint="eastAsia" w:ascii="Times New Roman" w:hAnsi="Times New Roman"/>
          <w:color w:val="auto"/>
          <w:sz w:val="24"/>
          <w:szCs w:val="24"/>
          <w:highlight w:val="none"/>
          <w:lang w:eastAsia="zh-CN"/>
        </w:rPr>
        <w:t>茌平信源环保建材有限公司脱硫石膏资源综合利用扩建项目</w:t>
      </w:r>
    </w:p>
    <w:p w14:paraId="6C54AE42">
      <w:pPr>
        <w:keepNext w:val="0"/>
        <w:keepLines w:val="0"/>
        <w:pageBreakBefore w:val="0"/>
        <w:numPr>
          <w:ilvl w:val="0"/>
          <w:numId w:val="0"/>
        </w:numPr>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highlight w:val="red"/>
        </w:rPr>
      </w:pPr>
      <w:r>
        <w:rPr>
          <w:rFonts w:hint="eastAsia" w:asciiTheme="minorEastAsia" w:hAnsiTheme="minorEastAsia" w:eastAsiaTheme="minorEastAsia" w:cstheme="minorEastAsia"/>
          <w:b/>
          <w:sz w:val="28"/>
          <w:szCs w:val="28"/>
          <w:highlight w:val="none"/>
          <w:lang w:val="en-US" w:eastAsia="zh-CN"/>
        </w:rPr>
        <w:t>二、</w:t>
      </w:r>
      <w:r>
        <w:rPr>
          <w:rFonts w:hint="eastAsia" w:asciiTheme="minorEastAsia" w:hAnsiTheme="minorEastAsia" w:eastAsiaTheme="minorEastAsia" w:cstheme="minorEastAsia"/>
          <w:b/>
          <w:sz w:val="28"/>
          <w:szCs w:val="28"/>
          <w:highlight w:val="none"/>
        </w:rPr>
        <w:t>工程变动情况</w:t>
      </w:r>
    </w:p>
    <w:p w14:paraId="66771EDA">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建设项目的性质、规模、地点、采用的生产工艺或者防治污染、防止生态破坏的措施发生重大变动的，才属重大变更。依据以上《关于印发〈污染影响类建设项目重大变动清单（试行）〉的通知》（环办环评函[2020]688号）分析，本项目不存在重大变动。</w:t>
      </w:r>
    </w:p>
    <w:p w14:paraId="52F1312A">
      <w:pPr>
        <w:keepNext w:val="0"/>
        <w:keepLines w:val="0"/>
        <w:pageBreakBefore w:val="0"/>
        <w:kinsoku/>
        <w:wordWrap/>
        <w:overflowPunct/>
        <w:topLinePunct w:val="0"/>
        <w:bidi w:val="0"/>
        <w:adjustRightInd w:val="0"/>
        <w:spacing w:line="560" w:lineRule="exact"/>
        <w:ind w:firstLine="568" w:firstLineChars="202"/>
        <w:jc w:val="left"/>
        <w:textAlignment w:val="auto"/>
        <w:outlineLvl w:val="9"/>
        <w:rPr>
          <w:rFonts w:hint="eastAsia" w:asciiTheme="minorEastAsia" w:hAnsiTheme="minorEastAsia" w:eastAsiaTheme="minorEastAsia" w:cstheme="minorEastAsia"/>
          <w:b/>
          <w:kern w:val="0"/>
          <w:sz w:val="28"/>
          <w:szCs w:val="28"/>
          <w:shd w:val="clear" w:color="auto" w:fill="FFFFFF"/>
        </w:rPr>
      </w:pPr>
      <w:r>
        <w:rPr>
          <w:rFonts w:hint="eastAsia" w:asciiTheme="minorEastAsia" w:hAnsiTheme="minorEastAsia" w:eastAsiaTheme="minorEastAsia" w:cstheme="minorEastAsia"/>
          <w:b/>
          <w:kern w:val="0"/>
          <w:sz w:val="28"/>
          <w:szCs w:val="28"/>
          <w:shd w:val="clear" w:color="auto" w:fill="FFFFFF"/>
          <w:lang w:bidi="ar"/>
        </w:rPr>
        <w:t>三、环境保护设施建设情况</w:t>
      </w:r>
    </w:p>
    <w:p w14:paraId="3797C622">
      <w:pPr>
        <w:keepNext w:val="0"/>
        <w:keepLines w:val="0"/>
        <w:pageBreakBefore w:val="0"/>
        <w:tabs>
          <w:tab w:val="left" w:pos="1362"/>
        </w:tabs>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（一）废水</w:t>
      </w:r>
    </w:p>
    <w:p w14:paraId="5BD196BC">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本次改扩建无新增废水产生，所用蒸汽冷凝后回流到聊城信源集团有限公司厂区内化水车间初步处理后用于锅炉补水，不外排。</w:t>
      </w:r>
      <w:r>
        <w:rPr>
          <w:rStyle w:val="33"/>
          <w:rFonts w:hint="eastAsia" w:ascii="Times New Roman" w:hAnsi="Times New Roman" w:cs="Times New Roman"/>
          <w:sz w:val="24"/>
          <w:lang w:val="en-US" w:eastAsia="zh-CN"/>
        </w:rPr>
        <w:t>。</w:t>
      </w:r>
    </w:p>
    <w:p w14:paraId="03886FF5">
      <w:pPr>
        <w:keepNext w:val="0"/>
        <w:keepLines w:val="0"/>
        <w:pageBreakBefore w:val="0"/>
        <w:kinsoku/>
        <w:wordWrap/>
        <w:overflowPunct/>
        <w:topLinePunct w:val="0"/>
        <w:bidi w:val="0"/>
        <w:adjustRightInd w:val="0"/>
        <w:spacing w:line="360" w:lineRule="auto"/>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（二）废气</w:t>
      </w:r>
    </w:p>
    <w:p w14:paraId="1972B4C2">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 xml:space="preserve">项目运营期产生的废气主要来自干燥、打散和煅烧、球磨等生产过程以及成品仓进出物料、成品包装过程产生的颗粒物。 </w:t>
      </w:r>
    </w:p>
    <w:p w14:paraId="14440D0B">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（1） 有组织废气</w:t>
      </w:r>
    </w:p>
    <w:p w14:paraId="0C41C41B">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①干燥工序废气：脱硫石膏干燥过程中会产生粉尘，干燥系统密闭，新增5 条生产线每条线干燥系统新增 1 套脉冲布袋除尘器，干燥系统粉尘经除尘器处理后由 4 根25m 排气筒排放。其中其中，8、9、10#生产线的干燥除尘系统各自经 1 根独立排气筒（DA019、DA020、DA021），11、12#生产线的干燥除尘系统共用 1 根排气筒（DA022）排放。</w:t>
      </w:r>
    </w:p>
    <w:p w14:paraId="1A5CCBC1">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②打散和煅烧工序废气：打散和煅烧过程中会产生颗粒物废气，此过程密闭，新增的5 条生产线每条生产线打散和煅烧系统新增 1 套脉冲布袋除尘器，打散和煅烧系统粉尘经除尘器处理后由 4 根 25m 排气筒排放，其中8#生产线打散和煅烧系统经处理后的颗粒物与 9#生产线改性磨系统共用 1 根排气筒（DA023）排放；9#生产线打散和煅烧系统处理后的颗粒物经 1 根排气筒（DA024）排放；10#生产线打散和煅烧系统处理后的颗粒物经 1 根排气筒（DA025）排放；11#、12#生产线打散和煅烧系统处理后的颗粒物经 1 根排气筒（DA026）排放）。</w:t>
      </w:r>
    </w:p>
    <w:p w14:paraId="6FA65E70">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③改性球磨系统废气：此过程密闭，改性球磨系统粉尘经除尘器处理后由 4 根 25m 排气筒排放。其中，8#线与现有工程 7#生产线共用 1 套改性球磨系统，其余4 条生产线各设置 1 套改性球磨系统。8#线与现有工程 7#生产线改性球磨系统废气经 1 台脉冲布袋除尘器处理后由 1 根排气筒（DA016）排放；9#线的磨机设置1 台脉冲布袋除尘器，经处理后的颗粒物与 8#生产线打散和煅烧系统经处理后的颗粒物共用 1 根排气筒（DA023）排放；10#线的磨机设置 1 台脉冲布袋除尘器，经处理后的颗粒物由 1 根排气筒（DA027）排放；11#、12#生产线线的磨机各布置 1 台脉冲布袋除尘器，经处理后的颗粒物合用 1 根排气筒（DA028）排放。</w:t>
      </w:r>
    </w:p>
    <w:p w14:paraId="31D857FF">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cs="Times New Roman"/>
          <w:sz w:val="24"/>
          <w:lang w:val="en-US" w:eastAsia="zh-CN"/>
        </w:rPr>
      </w:pPr>
      <w:r>
        <w:rPr>
          <w:rStyle w:val="33"/>
          <w:rFonts w:hint="eastAsia" w:ascii="Times New Roman" w:hAnsi="Times New Roman" w:eastAsia="宋体" w:cs="Times New Roman"/>
          <w:sz w:val="24"/>
          <w:lang w:val="en-US" w:eastAsia="zh-CN"/>
        </w:rPr>
        <w:t>④成品仓进出物料废气：项目改扩建后新增 2 座 1300m3筒仓（筒仓直径 10.95m，高度 15m）以及厂区内现有闲置 2 座 10000m3 筒仓（筒仓直径 24m，高度 25m），改扩建项目新增每个成品仓仓顶配有布袋除尘器，粉尘由仓顶除尘器处理后由 4 根排气筒（DA029、DA030、DA033、DA034）排放</w:t>
      </w:r>
      <w:r>
        <w:rPr>
          <w:rStyle w:val="33"/>
          <w:rFonts w:hint="eastAsia" w:ascii="Times New Roman" w:hAnsi="Times New Roman" w:cs="Times New Roman"/>
          <w:sz w:val="24"/>
          <w:lang w:val="en-US" w:eastAsia="zh-CN"/>
        </w:rPr>
        <w:t>。</w:t>
      </w:r>
    </w:p>
    <w:p w14:paraId="4D406495">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⑤成品包装废气：项目改扩建完成后取消小袋包装系统，新增 2 套吨包系统、2 套散装系统。新增散包系统产生的颗粒物分别经自带的脉冲布袋除尘器处理后经就近的磨机系统排气筒（DA027、DA028）排放；现有 2 套独立吨包小除尘器及排气筒（DA004、DA006）取消，与新增的 2 套吨包系统粉尘共用 1 套大的脉冲布袋除尘器，颗粒物经除尘器处理后经 1 根 15m 排气筒（DA004）排放。</w:t>
      </w:r>
    </w:p>
    <w:p w14:paraId="28CF8D4E">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eastAsia" w:ascii="Times New Roman" w:hAnsi="Times New Roman" w:eastAsia="宋体" w:cs="Times New Roman"/>
          <w:sz w:val="24"/>
          <w:lang w:val="en-US" w:eastAsia="zh-CN"/>
        </w:rPr>
      </w:pPr>
      <w:r>
        <w:rPr>
          <w:rStyle w:val="33"/>
          <w:rFonts w:hint="eastAsia" w:ascii="Times New Roman" w:hAnsi="Times New Roman" w:eastAsia="宋体" w:cs="Times New Roman"/>
          <w:sz w:val="24"/>
          <w:lang w:val="en-US" w:eastAsia="zh-CN"/>
        </w:rPr>
        <w:t>（2）无组织废气</w:t>
      </w:r>
    </w:p>
    <w:p w14:paraId="30F9DD29">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Fonts w:hint="eastAsia" w:ascii="Times New Roman" w:hAnsi="Times New Roman" w:cs="Times New Roman" w:eastAsiaTheme="minorEastAsia"/>
          <w:color w:val="000000"/>
          <w:sz w:val="24"/>
          <w:szCs w:val="24"/>
          <w:highlight w:val="none"/>
          <w:lang w:val="en-US" w:eastAsia="zh-CN"/>
        </w:rPr>
      </w:pPr>
      <w:r>
        <w:rPr>
          <w:rStyle w:val="33"/>
          <w:rFonts w:hint="eastAsia" w:ascii="Times New Roman" w:hAnsi="Times New Roman" w:eastAsia="宋体" w:cs="Times New Roman"/>
          <w:sz w:val="24"/>
          <w:lang w:val="en-US" w:eastAsia="zh-CN"/>
        </w:rPr>
        <w:t>项目原料输送采用带式输送机，为封闭式输送，且原料含水率较高，基本无粉尘产生。无组织粉尘产生环节主要来自干燥、煅烧、球磨等生产过程产品输送、设备密封不严以及成品包装过程未收集的粉尘。通过设置封闭式车间，且设置专人对散落的粉尘及时清扫、洒水降尘进行排放</w:t>
      </w:r>
      <w:r>
        <w:rPr>
          <w:rFonts w:hint="default" w:ascii="Times New Roman" w:hAnsi="Times New Roman" w:eastAsia="宋体" w:cs="Times New Roman"/>
          <w:b w:val="0"/>
          <w:bCs w:val="0"/>
          <w:color w:val="000000"/>
          <w:sz w:val="24"/>
          <w:szCs w:val="24"/>
          <w:highlight w:val="none"/>
          <w:lang w:val="en-US" w:eastAsia="zh-CN"/>
        </w:rPr>
        <w:t>。</w:t>
      </w:r>
    </w:p>
    <w:p w14:paraId="70E9133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（三）噪声</w:t>
      </w:r>
    </w:p>
    <w:p w14:paraId="6293375B">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lang w:val="en-US" w:eastAsia="zh-CN"/>
        </w:rPr>
        <w:t>改扩建项目运营期噪声主要为新增圆盘干燥机、球磨机、风机等设备运转时产生的噪声。项目采取的主要降噪措施包括：在设备选型时尽量选用低噪声设备；将产噪设备尽量均匀布置在车间中部，安装隔声门窗；对振动设备均设置减振机座，风机安装消音器。运营期厂界噪声须执行《工业企业厂界环境噪声排放标准》（GB 12348-2008）中3类标准：昼间65dB(A)、夜间55dB(A)。</w:t>
      </w:r>
    </w:p>
    <w:p w14:paraId="2EF31FED">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lang w:val="en-US" w:eastAsia="zh-CN"/>
        </w:rPr>
      </w:pPr>
      <w:r>
        <w:rPr>
          <w:rFonts w:hint="eastAsia" w:asciiTheme="minorEastAsia" w:hAnsiTheme="minorEastAsia" w:eastAsiaTheme="minorEastAsia" w:cstheme="minorEastAsia"/>
          <w:b/>
          <w:sz w:val="28"/>
          <w:szCs w:val="28"/>
          <w:shd w:val="clear" w:color="auto" w:fill="FFFFFF"/>
          <w:lang w:bidi="ar"/>
        </w:rPr>
        <w:t>（四）固</w:t>
      </w:r>
      <w:r>
        <w:rPr>
          <w:rFonts w:hint="eastAsia" w:asciiTheme="minorEastAsia" w:hAnsiTheme="minorEastAsia" w:eastAsiaTheme="minorEastAsia" w:cstheme="minorEastAsia"/>
          <w:b/>
          <w:sz w:val="28"/>
          <w:szCs w:val="28"/>
          <w:shd w:val="clear" w:color="auto" w:fill="FFFFFF"/>
          <w:lang w:val="en-US" w:eastAsia="zh-CN" w:bidi="ar"/>
        </w:rPr>
        <w:t>体</w:t>
      </w:r>
      <w:r>
        <w:rPr>
          <w:rFonts w:hint="eastAsia" w:asciiTheme="minorEastAsia" w:hAnsiTheme="minorEastAsia" w:eastAsiaTheme="minorEastAsia" w:cstheme="minorEastAsia"/>
          <w:b/>
          <w:sz w:val="28"/>
          <w:szCs w:val="28"/>
          <w:shd w:val="clear" w:color="auto" w:fill="FFFFFF"/>
          <w:lang w:bidi="ar"/>
        </w:rPr>
        <w:t>废</w:t>
      </w:r>
      <w:r>
        <w:rPr>
          <w:rFonts w:hint="eastAsia" w:asciiTheme="minorEastAsia" w:hAnsiTheme="minorEastAsia" w:eastAsiaTheme="minorEastAsia" w:cstheme="minorEastAsia"/>
          <w:b/>
          <w:sz w:val="28"/>
          <w:szCs w:val="28"/>
          <w:shd w:val="clear" w:color="auto" w:fill="FFFFFF"/>
          <w:lang w:val="en-US" w:eastAsia="zh-CN" w:bidi="ar"/>
        </w:rPr>
        <w:t>物</w:t>
      </w:r>
    </w:p>
    <w:p w14:paraId="6330D4CF">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项目产生的固体废物主要为废铁屑、除尘器收集的石膏粉、废布袋</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检维修过程产生的废机油（含油桶）。</w:t>
      </w:r>
    </w:p>
    <w:p w14:paraId="1647EADD">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（1）一般固废</w:t>
      </w:r>
    </w:p>
    <w:p w14:paraId="417C55BD">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①废铁屑</w:t>
      </w:r>
    </w:p>
    <w:p w14:paraId="23E1431A">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除铁器收集的铁屑经收集后外售。</w:t>
      </w:r>
    </w:p>
    <w:p w14:paraId="361F5F16">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②除尘器收集的石膏粉</w:t>
      </w:r>
    </w:p>
    <w:p w14:paraId="3968FEBA">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除尘器收集的石膏粉全部返回生产系统利用。</w:t>
      </w:r>
    </w:p>
    <w:p w14:paraId="4657CEE8">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③更换的废布袋</w:t>
      </w:r>
    </w:p>
    <w:p w14:paraId="1F4D3C7C">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为确保收尘效率，除尘器内部的布袋破损后需要及时更换。根据实际生产情况，布袋的更换频次为 1 次/年，新增产生的废布袋约为 0.05t/a，由厂家回收利用。</w:t>
      </w:r>
    </w:p>
    <w:p w14:paraId="61DEEC0F">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（2）危险废物</w:t>
      </w:r>
    </w:p>
    <w:p w14:paraId="1C4275A8">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①废机油（含油桶）</w:t>
      </w:r>
    </w:p>
    <w:p w14:paraId="623E87D7">
      <w:pPr>
        <w:widowControl/>
        <w:spacing w:line="360" w:lineRule="auto"/>
        <w:ind w:firstLine="480" w:firstLineChars="200"/>
        <w:jc w:val="both"/>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lang w:val="en-US" w:eastAsia="zh-CN"/>
        </w:rPr>
        <w:t>废机油（含油桶）来源于设备维护，其主要成分及有害成分为废机油，项目产生的废机油（含油桶）经收集后暂存于危险废物暂存间，定期委托有资质单位处置。</w:t>
      </w:r>
    </w:p>
    <w:p w14:paraId="4CB22796">
      <w:pPr>
        <w:pStyle w:val="31"/>
        <w:keepNext w:val="0"/>
        <w:keepLines w:val="0"/>
        <w:pageBreakBefore w:val="0"/>
        <w:widowControl/>
        <w:numPr>
          <w:ilvl w:val="0"/>
          <w:numId w:val="0"/>
        </w:numPr>
        <w:tabs>
          <w:tab w:val="left" w:pos="0"/>
        </w:tabs>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bCs/>
          <w:sz w:val="28"/>
          <w:szCs w:val="28"/>
          <w:shd w:val="clear" w:color="auto" w:fill="FFFFFF"/>
        </w:rPr>
      </w:pPr>
      <w:r>
        <w:rPr>
          <w:rFonts w:hint="eastAsia" w:asciiTheme="minorEastAsia" w:hAnsiTheme="minorEastAsia" w:eastAsiaTheme="minorEastAsia" w:cstheme="minorEastAsia"/>
          <w:b/>
          <w:bCs/>
          <w:sz w:val="28"/>
          <w:szCs w:val="28"/>
          <w:shd w:val="clear" w:color="auto" w:fill="FFFFFF"/>
          <w:lang w:eastAsia="zh-CN"/>
        </w:rPr>
        <w:t>四、</w:t>
      </w:r>
      <w:r>
        <w:rPr>
          <w:rFonts w:hint="eastAsia" w:asciiTheme="minorEastAsia" w:hAnsiTheme="minorEastAsia" w:eastAsiaTheme="minorEastAsia" w:cstheme="minorEastAsia"/>
          <w:b/>
          <w:bCs/>
          <w:sz w:val="28"/>
          <w:szCs w:val="28"/>
          <w:shd w:val="clear" w:color="auto" w:fill="FFFFFF"/>
        </w:rPr>
        <w:t>环境保护设施调试效果</w:t>
      </w:r>
    </w:p>
    <w:p w14:paraId="6404D5EC">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40" w:firstLineChars="1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第三方环境监测公司出具了《</w:t>
      </w:r>
      <w:r>
        <w:rPr>
          <w:rFonts w:hint="eastAsia" w:ascii="Times New Roman" w:hAnsi="Times New Roman" w:cs="Times New Roman"/>
          <w:color w:val="auto"/>
          <w:sz w:val="24"/>
          <w:szCs w:val="24"/>
          <w:highlight w:val="none"/>
          <w:lang w:eastAsia="zh-CN"/>
        </w:rPr>
        <w:t>茌平信源环保建材有限公司脱硫石膏资源综合利用扩建项目</w:t>
      </w:r>
      <w:r>
        <w:rPr>
          <w:rFonts w:hint="eastAsia" w:ascii="Times New Roman" w:hAnsi="Times New Roman" w:cs="Times New Roman" w:eastAsiaTheme="minorEastAsia"/>
          <w:color w:val="000000"/>
          <w:sz w:val="24"/>
          <w:szCs w:val="24"/>
          <w:highlight w:val="none"/>
          <w:lang w:val="en-US" w:eastAsia="zh-CN"/>
        </w:rPr>
        <w:t>竣工环境保护验收监测报告》，验收监测期间，项目生产工况稳定，生产负荷均在75%以上，符合验收监测应在工况的要求。监测结果表明：</w:t>
      </w:r>
    </w:p>
    <w:p w14:paraId="6AB3C75A">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default"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1</w:t>
      </w:r>
      <w:r>
        <w:rPr>
          <w:rFonts w:hint="default" w:ascii="Times New Roman" w:hAnsi="Times New Roman" w:cs="Times New Roman" w:eastAsiaTheme="minorEastAsia"/>
          <w:b/>
          <w:bCs/>
          <w:kern w:val="2"/>
          <w:sz w:val="28"/>
          <w:szCs w:val="28"/>
          <w:lang w:val="en-US" w:eastAsia="zh-CN" w:bidi="ar-SA"/>
        </w:rPr>
        <w:t>、废气</w:t>
      </w:r>
    </w:p>
    <w:p w14:paraId="53482D22">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验收监测期间，有组织颗粒物最高排放浓度分别为2.4 mg/m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，满足《建材工业大气污染物排放标准》（DB37/2373-2018）表2重点控制区排放浓度限值：10mg/m3，排气筒DA004有组织颗粒物最大排放速率为0.029 kg/h，满足《大气污染物综合排放标准》（GB 16297-1996）表2二级标准（排气筒高度15m：3.5 kg/h）；排气筒DA016、DA019--DA030有组织颗粒物最大排放速率为0.039kg/h，满足《大气污染物综合排放标准》（GB 16297-1996）表2二级标准（排气筒高度25m：14.45 kg/h）；排气筒DA033、DA034有组织颗粒物最大排放速率为0.0051kg/h，满足《大气污染物综合排放标准》（GB 16297-1996）表2二级标准（排气筒高度30m：23kg/h）。</w:t>
      </w:r>
      <w:r>
        <w:rPr>
          <w:rFonts w:hint="eastAsia" w:ascii="Times New Roman" w:hAnsi="Times New Roman" w:eastAsia="宋体" w:cs="Times New Roman"/>
          <w:b w:val="0"/>
          <w:bCs w:val="0"/>
          <w:color w:val="auto"/>
          <w:sz w:val="24"/>
          <w:szCs w:val="24"/>
          <w:highlight w:val="none"/>
          <w:lang w:val="en-US" w:eastAsia="zh-CN"/>
        </w:rPr>
        <w:t xml:space="preserve">由于项目排气筒周围 </w:t>
      </w:r>
      <w:r>
        <w:rPr>
          <w:rFonts w:hint="default" w:ascii="Times New Roman" w:hAnsi="Times New Roman" w:eastAsia="宋体" w:cs="Times New Roman"/>
          <w:b w:val="0"/>
          <w:bCs w:val="0"/>
          <w:color w:val="auto"/>
          <w:sz w:val="24"/>
          <w:szCs w:val="24"/>
          <w:highlight w:val="none"/>
          <w:lang w:val="en-US" w:eastAsia="zh-CN"/>
        </w:rPr>
        <w:t xml:space="preserve">200m </w:t>
      </w:r>
      <w:r>
        <w:rPr>
          <w:rFonts w:hint="eastAsia" w:ascii="Times New Roman" w:hAnsi="Times New Roman" w:eastAsia="宋体" w:cs="Times New Roman"/>
          <w:b w:val="0"/>
          <w:bCs w:val="0"/>
          <w:color w:val="auto"/>
          <w:sz w:val="24"/>
          <w:szCs w:val="24"/>
          <w:highlight w:val="none"/>
          <w:lang w:val="en-US" w:eastAsia="zh-CN"/>
        </w:rPr>
        <w:t xml:space="preserve">范围内存在高于 </w:t>
      </w:r>
      <w:r>
        <w:rPr>
          <w:rFonts w:hint="default" w:ascii="Times New Roman" w:hAnsi="Times New Roman" w:eastAsia="宋体" w:cs="Times New Roman"/>
          <w:b w:val="0"/>
          <w:bCs w:val="0"/>
          <w:color w:val="auto"/>
          <w:sz w:val="24"/>
          <w:szCs w:val="24"/>
          <w:highlight w:val="none"/>
          <w:lang w:val="en-US" w:eastAsia="zh-CN"/>
        </w:rPr>
        <w:t xml:space="preserve">15m </w:t>
      </w:r>
      <w:r>
        <w:rPr>
          <w:rFonts w:hint="eastAsia" w:ascii="Times New Roman" w:hAnsi="Times New Roman" w:eastAsia="宋体" w:cs="Times New Roman"/>
          <w:b w:val="0"/>
          <w:bCs w:val="0"/>
          <w:color w:val="auto"/>
          <w:sz w:val="24"/>
          <w:szCs w:val="24"/>
          <w:highlight w:val="none"/>
          <w:lang w:val="en-US" w:eastAsia="zh-CN"/>
        </w:rPr>
        <w:t xml:space="preserve">的建筑物，不能满足排气筒高度应高于周围 </w:t>
      </w:r>
      <w:r>
        <w:rPr>
          <w:rFonts w:hint="default" w:ascii="Times New Roman" w:hAnsi="Times New Roman" w:eastAsia="宋体" w:cs="Times New Roman"/>
          <w:b w:val="0"/>
          <w:bCs w:val="0"/>
          <w:color w:val="auto"/>
          <w:sz w:val="24"/>
          <w:szCs w:val="24"/>
          <w:highlight w:val="none"/>
          <w:lang w:val="en-US" w:eastAsia="zh-CN"/>
        </w:rPr>
        <w:t xml:space="preserve">200m </w:t>
      </w:r>
      <w:r>
        <w:rPr>
          <w:rFonts w:hint="eastAsia" w:ascii="Times New Roman" w:hAnsi="Times New Roman" w:eastAsia="宋体" w:cs="Times New Roman"/>
          <w:b w:val="0"/>
          <w:bCs w:val="0"/>
          <w:color w:val="auto"/>
          <w:sz w:val="24"/>
          <w:szCs w:val="24"/>
          <w:highlight w:val="none"/>
          <w:lang w:val="en-US" w:eastAsia="zh-CN"/>
        </w:rPr>
        <w:t xml:space="preserve">范围内最高建筑物 </w:t>
      </w:r>
      <w:r>
        <w:rPr>
          <w:rFonts w:hint="default" w:ascii="Times New Roman" w:hAnsi="Times New Roman" w:eastAsia="宋体" w:cs="Times New Roman"/>
          <w:b w:val="0"/>
          <w:bCs w:val="0"/>
          <w:color w:val="auto"/>
          <w:sz w:val="24"/>
          <w:szCs w:val="24"/>
          <w:highlight w:val="none"/>
          <w:lang w:val="en-US" w:eastAsia="zh-CN"/>
        </w:rPr>
        <w:t xml:space="preserve">5m </w:t>
      </w:r>
      <w:r>
        <w:rPr>
          <w:rFonts w:hint="eastAsia" w:ascii="Times New Roman" w:hAnsi="Times New Roman" w:eastAsia="宋体" w:cs="Times New Roman"/>
          <w:b w:val="0"/>
          <w:bCs w:val="0"/>
          <w:color w:val="auto"/>
          <w:sz w:val="24"/>
          <w:szCs w:val="24"/>
          <w:highlight w:val="none"/>
          <w:lang w:val="en-US" w:eastAsia="zh-CN"/>
        </w:rPr>
        <w:t>以上的要求，排放速率需严格</w:t>
      </w:r>
      <w:r>
        <w:rPr>
          <w:rFonts w:hint="default" w:ascii="Times New Roman" w:hAnsi="Times New Roman" w:eastAsia="宋体" w:cs="Times New Roman"/>
          <w:b w:val="0"/>
          <w:bCs w:val="0"/>
          <w:color w:val="auto"/>
          <w:sz w:val="24"/>
          <w:szCs w:val="24"/>
          <w:highlight w:val="none"/>
          <w:lang w:val="en-US" w:eastAsia="zh-CN"/>
        </w:rPr>
        <w:t>50%</w:t>
      </w:r>
      <w:r>
        <w:rPr>
          <w:rFonts w:hint="eastAsia" w:ascii="Times New Roman" w:hAnsi="Times New Roman" w:eastAsia="宋体" w:cs="Times New Roman"/>
          <w:b w:val="0"/>
          <w:bCs w:val="0"/>
          <w:color w:val="auto"/>
          <w:sz w:val="24"/>
          <w:szCs w:val="24"/>
          <w:highlight w:val="none"/>
          <w:lang w:val="en-US" w:eastAsia="zh-CN"/>
        </w:rPr>
        <w:t>执行。综上，各工序粉尘有组织排放速率均满足《大气污染物综合排放标准》</w:t>
      </w:r>
      <w:r>
        <w:rPr>
          <w:rFonts w:hint="default" w:ascii="Times New Roman" w:hAnsi="Times New Roman" w:eastAsia="宋体" w:cs="Times New Roman"/>
          <w:b w:val="0"/>
          <w:bCs w:val="0"/>
          <w:color w:val="auto"/>
          <w:sz w:val="24"/>
          <w:szCs w:val="24"/>
          <w:highlight w:val="none"/>
          <w:lang w:val="en-US" w:eastAsia="zh-CN"/>
        </w:rPr>
        <w:t>(GB16297-1996)</w:t>
      </w:r>
      <w:r>
        <w:rPr>
          <w:rFonts w:hint="eastAsia" w:ascii="Times New Roman" w:hAnsi="Times New Roman" w:eastAsia="宋体" w:cs="Times New Roman"/>
          <w:b w:val="0"/>
          <w:bCs w:val="0"/>
          <w:color w:val="auto"/>
          <w:sz w:val="24"/>
          <w:szCs w:val="24"/>
          <w:highlight w:val="none"/>
          <w:lang w:val="en-US" w:eastAsia="zh-CN"/>
        </w:rPr>
        <w:t xml:space="preserve">表 </w:t>
      </w:r>
      <w:r>
        <w:rPr>
          <w:rFonts w:hint="default" w:ascii="Times New Roman" w:hAnsi="Times New Roman" w:eastAsia="宋体" w:cs="Times New Roman"/>
          <w:b w:val="0"/>
          <w:bCs w:val="0"/>
          <w:color w:val="auto"/>
          <w:sz w:val="24"/>
          <w:szCs w:val="24"/>
          <w:highlight w:val="none"/>
          <w:lang w:val="en-US" w:eastAsia="zh-CN"/>
        </w:rPr>
        <w:t>2“</w:t>
      </w:r>
      <w:r>
        <w:rPr>
          <w:rFonts w:hint="eastAsia" w:ascii="Times New Roman" w:hAnsi="Times New Roman" w:eastAsia="宋体" w:cs="Times New Roman"/>
          <w:b w:val="0"/>
          <w:bCs w:val="0"/>
          <w:color w:val="auto"/>
          <w:sz w:val="24"/>
          <w:szCs w:val="24"/>
          <w:highlight w:val="none"/>
          <w:lang w:val="en-US" w:eastAsia="zh-CN"/>
        </w:rPr>
        <w:t>其他</w:t>
      </w: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二级排放限值要求（1.75</w:t>
      </w:r>
      <w:r>
        <w:rPr>
          <w:rFonts w:hint="default" w:ascii="Times New Roman" w:hAnsi="Times New Roman" w:eastAsia="宋体" w:cs="Times New Roman"/>
          <w:b w:val="0"/>
          <w:bCs w:val="0"/>
          <w:color w:val="auto"/>
          <w:sz w:val="24"/>
          <w:szCs w:val="24"/>
          <w:highlight w:val="none"/>
          <w:lang w:val="en-US" w:eastAsia="zh-CN"/>
        </w:rPr>
        <w:t>kg/h</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15m</w:t>
      </w:r>
      <w:r>
        <w:rPr>
          <w:rFonts w:hint="eastAsia" w:ascii="Times New Roman" w:hAnsi="Times New Roman" w:eastAsia="宋体" w:cs="Times New Roman"/>
          <w:b w:val="0"/>
          <w:bCs w:val="0"/>
          <w:color w:val="auto"/>
          <w:sz w:val="24"/>
          <w:szCs w:val="24"/>
          <w:highlight w:val="none"/>
          <w:lang w:val="en-US" w:eastAsia="zh-CN"/>
        </w:rPr>
        <w:t>）、2.95</w:t>
      </w:r>
      <w:r>
        <w:rPr>
          <w:rFonts w:hint="default" w:ascii="Times New Roman" w:hAnsi="Times New Roman" w:eastAsia="宋体" w:cs="Times New Roman"/>
          <w:b w:val="0"/>
          <w:bCs w:val="0"/>
          <w:color w:val="auto"/>
          <w:sz w:val="24"/>
          <w:szCs w:val="24"/>
          <w:highlight w:val="none"/>
          <w:lang w:val="en-US" w:eastAsia="zh-CN"/>
        </w:rPr>
        <w:t>kg/h</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2</w:t>
      </w:r>
      <w:r>
        <w:rPr>
          <w:rFonts w:hint="eastAsia" w:ascii="Times New Roman" w:hAnsi="Times New Roman" w:eastAsia="宋体" w:cs="Times New Roman"/>
          <w:b w:val="0"/>
          <w:bCs w:val="0"/>
          <w:color w:val="auto"/>
          <w:sz w:val="24"/>
          <w:szCs w:val="24"/>
          <w:highlight w:val="none"/>
          <w:lang w:val="en-US" w:eastAsia="zh-CN"/>
        </w:rPr>
        <w:t>0</w:t>
      </w:r>
      <w:r>
        <w:rPr>
          <w:rFonts w:hint="default" w:ascii="Times New Roman" w:hAnsi="Times New Roman" w:eastAsia="宋体" w:cs="Times New Roman"/>
          <w:b w:val="0"/>
          <w:bCs w:val="0"/>
          <w:color w:val="auto"/>
          <w:sz w:val="24"/>
          <w:szCs w:val="24"/>
          <w:highlight w:val="none"/>
          <w:lang w:val="en-US" w:eastAsia="zh-CN"/>
        </w:rPr>
        <w:t>m</w:t>
      </w:r>
      <w:r>
        <w:rPr>
          <w:rFonts w:hint="eastAsia" w:ascii="Times New Roman" w:hAnsi="Times New Roman" w:eastAsia="宋体" w:cs="Times New Roman"/>
          <w:b w:val="0"/>
          <w:bCs w:val="0"/>
          <w:color w:val="auto"/>
          <w:sz w:val="24"/>
          <w:szCs w:val="24"/>
          <w:highlight w:val="none"/>
          <w:lang w:val="en-US" w:eastAsia="zh-CN"/>
        </w:rPr>
        <w:t>）、7.23</w:t>
      </w:r>
      <w:r>
        <w:rPr>
          <w:rFonts w:hint="default" w:ascii="Times New Roman" w:hAnsi="Times New Roman" w:eastAsia="宋体" w:cs="Times New Roman"/>
          <w:b w:val="0"/>
          <w:bCs w:val="0"/>
          <w:color w:val="auto"/>
          <w:sz w:val="24"/>
          <w:szCs w:val="24"/>
          <w:highlight w:val="none"/>
          <w:lang w:val="en-US" w:eastAsia="zh-CN"/>
        </w:rPr>
        <w:t>kg/h</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25m</w:t>
      </w:r>
      <w:r>
        <w:rPr>
          <w:rFonts w:hint="eastAsia" w:ascii="Times New Roman" w:hAnsi="Times New Roman" w:eastAsia="宋体" w:cs="Times New Roman"/>
          <w:b w:val="0"/>
          <w:bCs w:val="0"/>
          <w:color w:val="auto"/>
          <w:sz w:val="24"/>
          <w:szCs w:val="24"/>
          <w:highlight w:val="none"/>
          <w:lang w:val="en-US" w:eastAsia="zh-CN"/>
        </w:rPr>
        <w:t>）、11.5</w:t>
      </w:r>
      <w:r>
        <w:rPr>
          <w:rFonts w:hint="default" w:ascii="Times New Roman" w:hAnsi="Times New Roman" w:eastAsia="宋体" w:cs="Times New Roman"/>
          <w:b w:val="0"/>
          <w:bCs w:val="0"/>
          <w:color w:val="auto"/>
          <w:sz w:val="24"/>
          <w:szCs w:val="24"/>
          <w:highlight w:val="none"/>
          <w:lang w:val="en-US" w:eastAsia="zh-CN"/>
        </w:rPr>
        <w:t>kg/h</w:t>
      </w:r>
      <w:r>
        <w:rPr>
          <w:rFonts w:hint="eastAsia" w:ascii="Times New Roman" w:hAnsi="Times New Roman" w:eastAsia="宋体" w:cs="Times New Roman"/>
          <w:b w:val="0"/>
          <w:bCs w:val="0"/>
          <w:color w:val="auto"/>
          <w:sz w:val="24"/>
          <w:szCs w:val="24"/>
          <w:highlight w:val="none"/>
          <w:lang w:val="en-US" w:eastAsia="zh-CN"/>
        </w:rPr>
        <w:t>（30</w:t>
      </w:r>
      <w:r>
        <w:rPr>
          <w:rFonts w:hint="default" w:ascii="Times New Roman" w:hAnsi="Times New Roman" w:eastAsia="宋体" w:cs="Times New Roman"/>
          <w:b w:val="0"/>
          <w:bCs w:val="0"/>
          <w:color w:val="auto"/>
          <w:sz w:val="24"/>
          <w:szCs w:val="24"/>
          <w:highlight w:val="none"/>
          <w:lang w:val="en-US" w:eastAsia="zh-CN"/>
        </w:rPr>
        <w:t>m</w:t>
      </w:r>
      <w:r>
        <w:rPr>
          <w:rFonts w:hint="eastAsia" w:ascii="Times New Roman" w:hAnsi="Times New Roman" w:eastAsia="宋体" w:cs="Times New Roman"/>
          <w:b w:val="0"/>
          <w:bCs w:val="0"/>
          <w:color w:val="auto"/>
          <w:sz w:val="24"/>
          <w:szCs w:val="24"/>
          <w:highlight w:val="none"/>
          <w:lang w:val="en-US" w:eastAsia="zh-CN"/>
        </w:rPr>
        <w:t>）。</w:t>
      </w:r>
    </w:p>
    <w:p w14:paraId="5C212FAB">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验收监测期间，无组织颗粒物最高排放浓度为0.3</w:t>
      </w:r>
      <w:r>
        <w:rPr>
          <w:rFonts w:hint="eastAsia" w:ascii="Times New Roman" w:hAnsi="Times New Roman" w:cs="Times New Roman"/>
          <w:color w:val="auto"/>
          <w:sz w:val="24"/>
          <w:szCs w:val="24"/>
          <w:highlight w:val="none"/>
          <w:lang w:val="en-US" w:eastAsia="zh-CN"/>
        </w:rPr>
        <w:t>53</w:t>
      </w:r>
      <w:r>
        <w:rPr>
          <w:rFonts w:hint="eastAsia" w:ascii="Times New Roman" w:hAnsi="Times New Roman" w:eastAsia="宋体" w:cs="Times New Roman"/>
          <w:color w:val="auto"/>
          <w:sz w:val="24"/>
          <w:szCs w:val="24"/>
          <w:highlight w:val="none"/>
          <w:lang w:eastAsia="zh-CN"/>
        </w:rPr>
        <w:t xml:space="preserve"> mg/m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，满足《建材工业大气污染物排放标准》（DB37/2373-2018）表3建材工业大气污染物无组织排放限值1.0mg/m</w:t>
      </w:r>
      <w:r>
        <w:rPr>
          <w:rFonts w:hint="eastAsia" w:ascii="Times New Roman" w:hAnsi="Times New Roman" w:eastAsia="宋体" w:cs="Times New Roman"/>
          <w:color w:val="auto"/>
          <w:sz w:val="24"/>
          <w:szCs w:val="24"/>
          <w:highlight w:val="none"/>
          <w:vertAlign w:val="superscript"/>
          <w:lang w:eastAsia="zh-CN"/>
        </w:rPr>
        <w:t>3</w:t>
      </w:r>
      <w:r>
        <w:rPr>
          <w:rFonts w:hint="eastAsia" w:ascii="Times New Roman" w:hAnsi="Times New Roman" w:eastAsia="宋体" w:cs="Times New Roman"/>
          <w:color w:val="auto"/>
          <w:sz w:val="24"/>
          <w:szCs w:val="24"/>
          <w:highlight w:val="none"/>
          <w:lang w:eastAsia="zh-CN"/>
        </w:rPr>
        <w:t>。</w:t>
      </w:r>
    </w:p>
    <w:p w14:paraId="4AF4AC09">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eastAsia"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2、噪声</w:t>
      </w:r>
    </w:p>
    <w:p w14:paraId="383B9739">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验收监测期间，厂界昼间</w:t>
      </w:r>
      <w:r>
        <w:rPr>
          <w:rFonts w:hint="eastAsia" w:ascii="Times New Roman" w:hAnsi="Times New Roman" w:eastAsia="宋体" w:cs="Times New Roman"/>
          <w:color w:val="auto"/>
          <w:sz w:val="24"/>
          <w:szCs w:val="24"/>
          <w:highlight w:val="none"/>
          <w:lang w:val="en-US" w:eastAsia="zh-CN"/>
        </w:rPr>
        <w:t>最大</w:t>
      </w:r>
      <w:r>
        <w:rPr>
          <w:rFonts w:hint="default" w:ascii="Times New Roman" w:hAnsi="Times New Roman" w:eastAsia="宋体" w:cs="Times New Roman"/>
          <w:color w:val="auto"/>
          <w:sz w:val="24"/>
          <w:szCs w:val="24"/>
          <w:highlight w:val="none"/>
          <w:lang w:val="en-US" w:eastAsia="zh-CN"/>
        </w:rPr>
        <w:t>噪声值</w:t>
      </w:r>
      <w:r>
        <w:rPr>
          <w:rFonts w:hint="eastAsia" w:ascii="Times New Roman" w:hAnsi="Times New Roman" w:eastAsia="宋体" w:cs="Times New Roman"/>
          <w:color w:val="auto"/>
          <w:sz w:val="24"/>
          <w:szCs w:val="24"/>
          <w:highlight w:val="none"/>
          <w:lang w:val="en-US" w:eastAsia="zh-CN"/>
        </w:rPr>
        <w:t>为5</w:t>
      </w:r>
      <w:r>
        <w:rPr>
          <w:rFonts w:hint="eastAsia" w:ascii="Times New Roman" w:hAnsi="Times New Roman"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，夜</w:t>
      </w:r>
      <w:r>
        <w:rPr>
          <w:rFonts w:hint="default" w:ascii="Times New Roman" w:hAnsi="Times New Roman" w:eastAsia="宋体" w:cs="Times New Roman"/>
          <w:color w:val="auto"/>
          <w:sz w:val="24"/>
          <w:szCs w:val="24"/>
          <w:highlight w:val="none"/>
          <w:lang w:val="en-US" w:eastAsia="zh-CN"/>
        </w:rPr>
        <w:t>间</w:t>
      </w:r>
      <w:r>
        <w:rPr>
          <w:rFonts w:hint="eastAsia" w:ascii="Times New Roman" w:hAnsi="Times New Roman" w:eastAsia="宋体" w:cs="Times New Roman"/>
          <w:color w:val="auto"/>
          <w:sz w:val="24"/>
          <w:szCs w:val="24"/>
          <w:highlight w:val="none"/>
          <w:lang w:val="en-US" w:eastAsia="zh-CN"/>
        </w:rPr>
        <w:t>最大</w:t>
      </w:r>
      <w:r>
        <w:rPr>
          <w:rFonts w:hint="default" w:ascii="Times New Roman" w:hAnsi="Times New Roman" w:eastAsia="宋体" w:cs="Times New Roman"/>
          <w:color w:val="auto"/>
          <w:sz w:val="24"/>
          <w:szCs w:val="24"/>
          <w:highlight w:val="none"/>
          <w:lang w:val="en-US" w:eastAsia="zh-CN"/>
        </w:rPr>
        <w:t>噪声值</w:t>
      </w:r>
      <w:r>
        <w:rPr>
          <w:rFonts w:hint="eastAsia" w:ascii="Times New Roman" w:hAnsi="Times New Roman" w:eastAsia="宋体" w:cs="Times New Roman"/>
          <w:color w:val="auto"/>
          <w:sz w:val="24"/>
          <w:szCs w:val="24"/>
          <w:highlight w:val="none"/>
          <w:lang w:val="en-US" w:eastAsia="zh-CN"/>
        </w:rPr>
        <w:t>为4</w:t>
      </w:r>
      <w:r>
        <w:rPr>
          <w:rFonts w:hint="eastAsia"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 xml:space="preserve"> dB(A)，满足《工业企业厂界环境噪声排放标准》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GB 12348-2008</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类区标准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昼间6</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、夜间55</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要求。</w:t>
      </w:r>
    </w:p>
    <w:p w14:paraId="11F2971E">
      <w:pPr>
        <w:pStyle w:val="32"/>
        <w:keepNext w:val="0"/>
        <w:keepLines w:val="0"/>
        <w:pageBreakBefore w:val="0"/>
        <w:widowControl/>
        <w:tabs>
          <w:tab w:val="left" w:pos="1680"/>
        </w:tabs>
        <w:kinsoku/>
        <w:wordWrap/>
        <w:overflowPunct/>
        <w:topLinePunct w:val="0"/>
        <w:autoSpaceDE/>
        <w:autoSpaceDN/>
        <w:bidi w:val="0"/>
        <w:adjustRightInd/>
        <w:snapToGrid/>
        <w:spacing w:line="360" w:lineRule="auto"/>
        <w:ind w:left="0" w:leftChars="0" w:firstLine="281" w:firstLineChars="100"/>
        <w:textAlignment w:val="auto"/>
        <w:outlineLvl w:val="9"/>
        <w:rPr>
          <w:rFonts w:hint="eastAsia"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3、固体废物</w:t>
      </w:r>
    </w:p>
    <w:p w14:paraId="17B3953D">
      <w:pPr>
        <w:widowControl/>
        <w:spacing w:line="360" w:lineRule="auto"/>
        <w:ind w:firstLine="480" w:firstLineChars="20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项目产生的固体废物主要为废铁屑、除尘器收集的石膏粉、废布袋检维修过程产生的废机油（含油桶）。</w:t>
      </w:r>
    </w:p>
    <w:p w14:paraId="2E24BD37">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（1）一般固废</w:t>
      </w:r>
    </w:p>
    <w:p w14:paraId="3E1BC5BA">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①废铁屑</w:t>
      </w:r>
    </w:p>
    <w:p w14:paraId="71D85BD0">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除铁器收集的铁屑经收集后外售。</w:t>
      </w:r>
    </w:p>
    <w:p w14:paraId="5159287D">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②除尘器收集的石膏粉</w:t>
      </w:r>
    </w:p>
    <w:p w14:paraId="4FDE14E4">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除尘器收集的石膏粉全部返回生产系统利用。</w:t>
      </w:r>
    </w:p>
    <w:p w14:paraId="6B759329">
      <w:pPr>
        <w:widowControl/>
        <w:spacing w:line="360" w:lineRule="auto"/>
        <w:ind w:firstLine="480" w:firstLineChars="200"/>
        <w:jc w:val="both"/>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③更换的废布袋</w:t>
      </w:r>
    </w:p>
    <w:p w14:paraId="2FFAC0E7">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为确保收尘效率，除尘器内部的布袋破损后需要及时更换。根据实际生产情况，布袋的更换频次为 1 次/年，新增产生的废布袋约为 0.05t/a，由厂家回收利用。</w:t>
      </w:r>
    </w:p>
    <w:p w14:paraId="7947C1A4">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（2）危险废物</w:t>
      </w:r>
    </w:p>
    <w:p w14:paraId="6B4A093F">
      <w:pPr>
        <w:keepNext w:val="0"/>
        <w:keepLines w:val="0"/>
        <w:pageBreakBefore w:val="0"/>
        <w:widowControl/>
        <w:suppressLineNumbers w:val="0"/>
        <w:kinsoku/>
        <w:wordWrap/>
        <w:overflowPunct/>
        <w:topLinePunct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auto"/>
          <w:sz w:val="24"/>
          <w:szCs w:val="24"/>
          <w:highlight w:val="none"/>
          <w:lang w:val="en-US" w:eastAsia="zh-CN"/>
        </w:rPr>
      </w:pPr>
      <w:r>
        <w:rPr>
          <w:rFonts w:hint="eastAsia" w:ascii="宋体" w:hAnsi="宋体" w:eastAsia="宋体" w:cs="宋体"/>
          <w:color w:val="000000"/>
          <w:kern w:val="0"/>
          <w:sz w:val="24"/>
          <w:szCs w:val="24"/>
          <w:lang w:val="en-US" w:eastAsia="zh-CN" w:bidi="ar"/>
        </w:rPr>
        <w:t>①废机油（含油桶）</w:t>
      </w:r>
    </w:p>
    <w:p w14:paraId="27322FB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highlight w:val="none"/>
          <w:lang w:val="en-US" w:eastAsia="zh-CN"/>
        </w:rPr>
        <w:t>废</w:t>
      </w:r>
      <w:r>
        <w:rPr>
          <w:rFonts w:hint="eastAsia" w:ascii="宋体" w:hAnsi="宋体" w:eastAsia="宋体" w:cs="宋体"/>
          <w:color w:val="000000"/>
          <w:kern w:val="0"/>
          <w:sz w:val="24"/>
          <w:szCs w:val="24"/>
          <w:lang w:val="en-US" w:eastAsia="zh-CN" w:bidi="ar"/>
        </w:rPr>
        <w:t>机油（含油桶）</w:t>
      </w:r>
      <w:r>
        <w:rPr>
          <w:rFonts w:hint="eastAsia" w:ascii="Times New Roman" w:hAnsi="Times New Roman" w:eastAsia="宋体" w:cs="Times New Roman"/>
          <w:color w:val="auto"/>
          <w:sz w:val="24"/>
          <w:szCs w:val="24"/>
          <w:highlight w:val="none"/>
          <w:lang w:val="en-US" w:eastAsia="zh-CN"/>
        </w:rPr>
        <w:t>来源于设备维护，其主要成分及有害成分为废机油，项目产生的废机油（含油桶）经收集后暂存于危险废物暂存间，定期委托有资质单位处置</w:t>
      </w:r>
      <w:r>
        <w:rPr>
          <w:rFonts w:hint="default" w:ascii="Times New Roman" w:hAnsi="Times New Roman" w:eastAsia="宋体" w:cs="Times New Roman"/>
          <w:color w:val="auto"/>
          <w:sz w:val="24"/>
          <w:szCs w:val="24"/>
          <w:lang w:val="en-US" w:eastAsia="zh-CN"/>
        </w:rPr>
        <w:t>。</w:t>
      </w:r>
    </w:p>
    <w:p w14:paraId="737F0102">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竣工环境保护验收监测结果表明：本次验收项目产生的废气、噪声经处理设施处理后均稳定达标排放；项目生产过程中产生的固废处置措施合理有效，去向明确，对外环境影响较小。综上所述，</w:t>
      </w:r>
      <w:r>
        <w:rPr>
          <w:rFonts w:hint="eastAsia" w:ascii="Times New Roman" w:hAnsi="Times New Roman" w:cs="Times New Roman"/>
          <w:color w:val="auto"/>
          <w:sz w:val="24"/>
          <w:szCs w:val="24"/>
          <w:highlight w:val="none"/>
          <w:lang w:eastAsia="zh-CN"/>
        </w:rPr>
        <w:t>茌平信源环保建材有限公司脱硫石膏资源综合利用扩建项目</w:t>
      </w:r>
      <w:r>
        <w:rPr>
          <w:rFonts w:hint="default" w:ascii="Times New Roman" w:hAnsi="Times New Roman" w:cs="Times New Roman" w:eastAsiaTheme="minorEastAsia"/>
          <w:color w:val="000000"/>
          <w:sz w:val="24"/>
          <w:szCs w:val="24"/>
          <w:highlight w:val="none"/>
          <w:lang w:val="en-US" w:eastAsia="zh-CN"/>
        </w:rPr>
        <w:t>满足建设项目竣工环境保护验收条件。</w:t>
      </w:r>
    </w:p>
    <w:p w14:paraId="16467A48">
      <w:pPr>
        <w:keepNext w:val="0"/>
        <w:keepLines w:val="0"/>
        <w:pageBreakBefore w:val="0"/>
        <w:kinsoku/>
        <w:wordWrap/>
        <w:overflowPunct/>
        <w:topLinePunct w:val="0"/>
        <w:bidi w:val="0"/>
        <w:adjustRightInd w:val="0"/>
        <w:snapToGrid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kern w:val="0"/>
          <w:sz w:val="28"/>
          <w:szCs w:val="28"/>
        </w:rPr>
        <w:t>五、工程建设对环境的影响</w:t>
      </w:r>
    </w:p>
    <w:p w14:paraId="1882E9D4">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项目建设进行了环境影响评价，基本落实了环境影响评价文件及其批复要求。验收监测期间，项目产生的废气、噪声、废水能够达标排放，固体废物能够得到妥善处理。</w:t>
      </w:r>
    </w:p>
    <w:p w14:paraId="7259544A">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color w:val="000000"/>
          <w:sz w:val="28"/>
          <w:szCs w:val="28"/>
          <w:shd w:val="clear" w:color="auto" w:fill="FFFFFF"/>
        </w:rPr>
      </w:pPr>
      <w:r>
        <w:rPr>
          <w:rFonts w:hint="eastAsia" w:asciiTheme="minorEastAsia" w:hAnsiTheme="minorEastAsia" w:eastAsiaTheme="minorEastAsia" w:cstheme="minorEastAsia"/>
          <w:b/>
          <w:kern w:val="0"/>
          <w:sz w:val="28"/>
          <w:szCs w:val="28"/>
          <w:shd w:val="clear" w:color="auto" w:fill="FFFFFF"/>
          <w:lang w:bidi="ar"/>
        </w:rPr>
        <w:t>六、验收结论</w:t>
      </w:r>
    </w:p>
    <w:p w14:paraId="036DD798">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color w:val="auto"/>
          <w:sz w:val="24"/>
          <w:szCs w:val="24"/>
          <w:highlight w:val="none"/>
          <w:lang w:eastAsia="zh-CN"/>
        </w:rPr>
        <w:t>茌平信源环保建材有限公司</w:t>
      </w:r>
      <w:r>
        <w:rPr>
          <w:rFonts w:hint="eastAsia" w:ascii="Times New Roman" w:hAnsi="Times New Roman" w:cs="Times New Roman" w:eastAsiaTheme="minorEastAsia"/>
          <w:color w:val="000000"/>
          <w:sz w:val="24"/>
          <w:szCs w:val="24"/>
          <w:highlight w:val="none"/>
          <w:lang w:val="en-US" w:eastAsia="zh-CN"/>
        </w:rPr>
        <w:t>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验收工作组原则同意该项目环保设施通过环保验收。</w:t>
      </w:r>
    </w:p>
    <w:p w14:paraId="4DA6F381">
      <w:pPr>
        <w:keepNext w:val="0"/>
        <w:keepLines w:val="0"/>
        <w:pageBreakBefore w:val="0"/>
        <w:kinsoku/>
        <w:wordWrap/>
        <w:overflowPunct/>
        <w:topLinePunct w:val="0"/>
        <w:bidi w:val="0"/>
        <w:spacing w:line="560" w:lineRule="exact"/>
        <w:ind w:firstLine="281" w:firstLineChars="100"/>
        <w:textAlignment w:val="auto"/>
        <w:outlineLvl w:val="9"/>
        <w:rPr>
          <w:rFonts w:hint="eastAsia" w:asciiTheme="minorEastAsia" w:hAnsiTheme="minorEastAsia" w:eastAsiaTheme="minorEastAsia" w:cstheme="minorEastAsia"/>
          <w:b/>
          <w:color w:val="000000"/>
          <w:sz w:val="28"/>
          <w:szCs w:val="28"/>
          <w:shd w:val="clear" w:color="auto" w:fill="FFFFFF"/>
        </w:rPr>
      </w:pPr>
      <w:r>
        <w:rPr>
          <w:rFonts w:hint="eastAsia" w:asciiTheme="minorEastAsia" w:hAnsiTheme="minorEastAsia" w:eastAsiaTheme="minorEastAsia" w:cstheme="minorEastAsia"/>
          <w:b/>
          <w:color w:val="000000"/>
          <w:sz w:val="28"/>
          <w:szCs w:val="28"/>
          <w:shd w:val="clear" w:color="auto" w:fill="FFFFFF"/>
          <w:lang w:bidi="ar"/>
        </w:rPr>
        <w:t>七、后续要求</w:t>
      </w:r>
    </w:p>
    <w:p w14:paraId="7D153B62">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1、车间地面上撒漏的粉状物料应及时清理，保持车间地面清洁，防止扬尘。</w:t>
      </w:r>
    </w:p>
    <w:p w14:paraId="3DD41926">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2、定期检查废气收集设施的运行情况，确保废气有效收集和处理；</w:t>
      </w:r>
    </w:p>
    <w:p w14:paraId="2B09ED38">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w:t>
      </w:r>
      <w:r>
        <w:rPr>
          <w:rFonts w:hint="eastAsia" w:ascii="Times New Roman" w:hAnsi="Times New Roman" w:eastAsia="宋体" w:cs="Times New Roman"/>
          <w:color w:val="auto"/>
          <w:kern w:val="2"/>
          <w:sz w:val="24"/>
          <w:szCs w:val="24"/>
          <w:lang w:val="en-US" w:eastAsia="zh-CN" w:bidi="ar-SA"/>
        </w:rPr>
        <w:t>项目运营过程中，严格执行排污许可排放标准，一般工业固废严格按照《一般工业固体废物贮存和填埋污染控制标准》（GB 18599-2020）要求执行</w:t>
      </w:r>
      <w:r>
        <w:rPr>
          <w:rFonts w:hint="eastAsia" w:ascii="Times New Roman" w:hAnsi="Times New Roman"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危险废物严格按照《危险废物贮存污染控制标准》（GB 18597-2023）要求执行。</w:t>
      </w:r>
    </w:p>
    <w:p w14:paraId="56E99AFF">
      <w:pPr>
        <w:keepNext w:val="0"/>
        <w:keepLines w:val="0"/>
        <w:pageBreakBefore w:val="0"/>
        <w:kinsoku/>
        <w:wordWrap/>
        <w:overflowPunct/>
        <w:topLinePunct w:val="0"/>
        <w:bidi w:val="0"/>
        <w:spacing w:line="560" w:lineRule="exact"/>
        <w:ind w:firstLine="281" w:firstLineChars="100"/>
        <w:textAlignment w:val="auto"/>
        <w:outlineLvl w:val="9"/>
        <w:rPr>
          <w:rFonts w:hint="eastAsia" w:asciiTheme="minorEastAsia" w:hAnsiTheme="minorEastAsia" w:eastAsiaTheme="minorEastAsia" w:cstheme="minorEastAsia"/>
          <w:b/>
          <w:color w:val="000000"/>
          <w:sz w:val="28"/>
          <w:szCs w:val="28"/>
          <w:shd w:val="clear" w:color="auto" w:fill="FFFFFF"/>
          <w:lang w:bidi="ar"/>
        </w:rPr>
      </w:pPr>
      <w:r>
        <w:rPr>
          <w:rFonts w:hint="eastAsia" w:asciiTheme="minorEastAsia" w:hAnsiTheme="minorEastAsia" w:eastAsiaTheme="minorEastAsia" w:cstheme="minorEastAsia"/>
          <w:b/>
          <w:color w:val="000000"/>
          <w:sz w:val="28"/>
          <w:szCs w:val="28"/>
          <w:shd w:val="clear" w:color="auto" w:fill="FFFFFF"/>
          <w:lang w:bidi="ar"/>
        </w:rPr>
        <w:t>八、验收人员信息</w:t>
      </w:r>
    </w:p>
    <w:p w14:paraId="619D6C4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见附件。</w:t>
      </w:r>
    </w:p>
    <w:p w14:paraId="29C92F95">
      <w:pPr>
        <w:keepNext w:val="0"/>
        <w:keepLines w:val="0"/>
        <w:pageBreakBefore w:val="0"/>
        <w:kinsoku/>
        <w:wordWrap/>
        <w:overflowPunct/>
        <w:topLinePunct w:val="0"/>
        <w:bidi w:val="0"/>
        <w:adjustRightInd w:val="0"/>
        <w:spacing w:line="560" w:lineRule="exact"/>
        <w:ind w:firstLine="364" w:firstLineChars="152"/>
        <w:jc w:val="center"/>
        <w:textAlignment w:val="auto"/>
        <w:outlineLvl w:val="9"/>
        <w:rPr>
          <w:rFonts w:hint="eastAsia" w:asciiTheme="minorEastAsia" w:hAnsiTheme="minorEastAsia" w:eastAsiaTheme="minorEastAsia" w:cstheme="minorEastAsia"/>
          <w:color w:val="auto"/>
          <w:sz w:val="24"/>
          <w:szCs w:val="24"/>
          <w:shd w:val="clear" w:color="auto" w:fill="FFFFFF"/>
        </w:rPr>
      </w:pPr>
      <w:r>
        <w:rPr>
          <w:rFonts w:hint="eastAsia" w:ascii="Times New Roman" w:hAnsi="Times New Roman" w:cs="Times New Roman" w:eastAsiaTheme="minorEastAsia"/>
          <w:color w:val="000000"/>
          <w:sz w:val="24"/>
          <w:szCs w:val="24"/>
          <w:highlight w:val="none"/>
          <w:lang w:val="en-US" w:eastAsia="zh-CN"/>
        </w:rPr>
        <w:t xml:space="preserve">                                           </w:t>
      </w:r>
      <w:r>
        <w:rPr>
          <w:rFonts w:hint="eastAsia" w:ascii="Times New Roman" w:hAnsi="Times New Roman" w:cs="Times New Roman"/>
          <w:color w:val="auto"/>
          <w:sz w:val="24"/>
          <w:szCs w:val="24"/>
          <w:highlight w:val="none"/>
          <w:lang w:eastAsia="zh-CN"/>
        </w:rPr>
        <w:t>茌平信源环保建材有限公司</w:t>
      </w:r>
    </w:p>
    <w:p w14:paraId="5F0D4073">
      <w:pPr>
        <w:keepNext w:val="0"/>
        <w:keepLines w:val="0"/>
        <w:pageBreakBefore w:val="0"/>
        <w:kinsoku/>
        <w:wordWrap/>
        <w:overflowPunct/>
        <w:topLinePunct w:val="0"/>
        <w:bidi w:val="0"/>
        <w:adjustRightInd w:val="0"/>
        <w:spacing w:line="560" w:lineRule="exact"/>
        <w:ind w:right="600"/>
        <w:jc w:val="right"/>
        <w:textAlignment w:val="auto"/>
        <w:outlineLvl w:val="9"/>
        <w:rPr>
          <w:rFonts w:hint="default" w:ascii="Times New Roman" w:hAnsi="Times New Roman" w:cs="Times New Roman" w:eastAsiaTheme="minorEastAsia"/>
          <w:color w:val="auto"/>
          <w:sz w:val="24"/>
          <w:szCs w:val="24"/>
          <w:highlight w:val="none"/>
          <w:shd w:val="clear" w:color="auto" w:fill="FFFFFF"/>
          <w:lang w:bidi="ar"/>
        </w:rPr>
        <w:sectPr>
          <w:footerReference r:id="rId3" w:type="default"/>
          <w:pgSz w:w="11906" w:h="16838"/>
          <w:pgMar w:top="1474" w:right="1588" w:bottom="1134" w:left="1588" w:header="851" w:footer="992" w:gutter="0"/>
          <w:cols w:space="425" w:num="1"/>
          <w:docGrid w:type="lines" w:linePitch="312" w:charSpace="0"/>
        </w:sectPr>
      </w:pPr>
      <w:r>
        <w:rPr>
          <w:rFonts w:hint="default" w:ascii="Times New Roman" w:hAnsi="Times New Roman" w:cs="Times New Roman" w:eastAsiaTheme="minorEastAsia"/>
          <w:color w:val="auto"/>
          <w:sz w:val="24"/>
          <w:szCs w:val="24"/>
          <w:highlight w:val="none"/>
          <w:shd w:val="clear" w:color="auto" w:fill="FFFFFF"/>
          <w:lang w:val="en-US" w:eastAsia="zh-CN" w:bidi="ar"/>
        </w:rPr>
        <w:t>202</w:t>
      </w:r>
      <w:r>
        <w:rPr>
          <w:rFonts w:hint="eastAsia" w:ascii="Times New Roman" w:hAnsi="Times New Roman" w:cs="Times New Roman" w:eastAsiaTheme="minorEastAsia"/>
          <w:color w:val="auto"/>
          <w:sz w:val="24"/>
          <w:szCs w:val="24"/>
          <w:highlight w:val="none"/>
          <w:shd w:val="clear" w:color="auto" w:fill="FFFFFF"/>
          <w:lang w:val="en-US" w:eastAsia="zh-CN" w:bidi="ar"/>
        </w:rPr>
        <w:t>5</w:t>
      </w:r>
      <w:r>
        <w:rPr>
          <w:rFonts w:hint="default" w:ascii="Times New Roman" w:hAnsi="Times New Roman" w:cs="Times New Roman" w:eastAsiaTheme="minorEastAsia"/>
          <w:color w:val="auto"/>
          <w:sz w:val="24"/>
          <w:szCs w:val="24"/>
          <w:highlight w:val="none"/>
          <w:shd w:val="clear" w:color="auto" w:fill="FFFFFF"/>
          <w:lang w:bidi="ar"/>
        </w:rPr>
        <w:t>年</w:t>
      </w:r>
      <w:r>
        <w:rPr>
          <w:rFonts w:hint="eastAsia" w:ascii="Times New Roman" w:hAnsi="Times New Roman" w:cs="Times New Roman" w:eastAsiaTheme="minorEastAsia"/>
          <w:color w:val="auto"/>
          <w:sz w:val="24"/>
          <w:szCs w:val="24"/>
          <w:highlight w:val="none"/>
          <w:shd w:val="clear" w:color="auto" w:fill="FFFFFF"/>
          <w:lang w:val="en-US" w:eastAsia="zh-CN" w:bidi="ar"/>
        </w:rPr>
        <w:t>01</w:t>
      </w:r>
      <w:r>
        <w:rPr>
          <w:rFonts w:hint="default" w:ascii="Times New Roman" w:hAnsi="Times New Roman" w:cs="Times New Roman" w:eastAsiaTheme="minorEastAsia"/>
          <w:color w:val="auto"/>
          <w:sz w:val="24"/>
          <w:szCs w:val="24"/>
          <w:highlight w:val="none"/>
          <w:shd w:val="clear" w:color="auto" w:fill="FFFFFF"/>
          <w:lang w:bidi="ar"/>
        </w:rPr>
        <w:t>月</w:t>
      </w:r>
      <w:r>
        <w:rPr>
          <w:rFonts w:hint="eastAsia" w:ascii="Times New Roman" w:hAnsi="Times New Roman" w:cs="Times New Roman" w:eastAsiaTheme="minorEastAsia"/>
          <w:color w:val="auto"/>
          <w:sz w:val="24"/>
          <w:szCs w:val="24"/>
          <w:highlight w:val="none"/>
          <w:shd w:val="clear" w:color="auto" w:fill="FFFFFF"/>
          <w:lang w:val="en-US" w:eastAsia="zh-CN" w:bidi="ar"/>
        </w:rPr>
        <w:t>12</w:t>
      </w:r>
      <w:r>
        <w:rPr>
          <w:rFonts w:hint="default" w:ascii="Times New Roman" w:hAnsi="Times New Roman" w:cs="Times New Roman" w:eastAsiaTheme="minorEastAsia"/>
          <w:color w:val="auto"/>
          <w:sz w:val="24"/>
          <w:szCs w:val="24"/>
          <w:highlight w:val="none"/>
          <w:shd w:val="clear" w:color="auto" w:fill="FFFFFF"/>
          <w:lang w:bidi="ar"/>
        </w:rPr>
        <w:t>日</w:t>
      </w:r>
    </w:p>
    <w:p w14:paraId="2455B0E9">
      <w:pPr>
        <w:pStyle w:val="2"/>
        <w:keepNext w:val="0"/>
        <w:keepLines w:val="0"/>
        <w:pageBreakBefore w:val="0"/>
        <w:widowControl w:val="0"/>
        <w:kinsoku/>
        <w:wordWrap/>
        <w:overflowPunct/>
        <w:topLinePunct w:val="0"/>
        <w:autoSpaceDE w:val="0"/>
        <w:autoSpaceDN w:val="0"/>
        <w:bidi w:val="0"/>
        <w:adjustRightInd w:val="0"/>
        <w:snapToGrid/>
        <w:jc w:val="both"/>
        <w:textAlignment w:val="auto"/>
        <w:outlineLvl w:val="9"/>
        <w:rPr>
          <w:rFonts w:hint="eastAsia"/>
          <w:b/>
          <w:bCs/>
          <w:sz w:val="24"/>
          <w:szCs w:val="24"/>
          <w:lang w:eastAsia="zh-CN"/>
        </w:rPr>
      </w:pPr>
      <w:r>
        <w:rPr>
          <w:rFonts w:hint="eastAsia"/>
          <w:b/>
          <w:bCs/>
          <w:sz w:val="24"/>
          <w:szCs w:val="24"/>
          <w:lang w:eastAsia="zh-CN"/>
        </w:rPr>
        <w:t>附件：</w:t>
      </w:r>
    </w:p>
    <w:p w14:paraId="419A4862">
      <w:pPr>
        <w:pStyle w:val="2"/>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eastAsia="宋体"/>
          <w:lang w:eastAsia="zh-CN"/>
        </w:rPr>
      </w:pPr>
      <w:bookmarkStart w:id="0" w:name="_GoBack"/>
      <w:r>
        <w:rPr>
          <w:rFonts w:hint="eastAsia" w:eastAsia="宋体"/>
          <w:lang w:eastAsia="zh-CN"/>
        </w:rPr>
        <w:drawing>
          <wp:inline distT="0" distB="0" distL="114300" distR="114300">
            <wp:extent cx="7828280" cy="5257800"/>
            <wp:effectExtent l="0" t="0" r="1270" b="0"/>
            <wp:docPr id="1" name="图片 1" descr="SKM_5582501171037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KM_55825011710370_00"/>
                    <pic:cNvPicPr>
                      <a:picLocks noChangeAspect="1"/>
                    </pic:cNvPicPr>
                  </pic:nvPicPr>
                  <pic:blipFill>
                    <a:blip r:embed="rId5"/>
                    <a:stretch>
                      <a:fillRect/>
                    </a:stretch>
                  </pic:blipFill>
                  <pic:spPr>
                    <a:xfrm>
                      <a:off x="0" y="0"/>
                      <a:ext cx="7828280" cy="5257800"/>
                    </a:xfrm>
                    <a:prstGeom prst="rect">
                      <a:avLst/>
                    </a:prstGeom>
                  </pic:spPr>
                </pic:pic>
              </a:graphicData>
            </a:graphic>
          </wp:inline>
        </w:drawing>
      </w:r>
      <w:bookmarkEnd w:id="0"/>
    </w:p>
    <w:sectPr>
      <w:pgSz w:w="16838" w:h="11906" w:orient="landscape"/>
      <w:pgMar w:top="1588" w:right="1474" w:bottom="158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14:paraId="4C398A33">
        <w:pPr>
          <w:pStyle w:val="10"/>
          <w:jc w:val="center"/>
        </w:pPr>
        <w:r>
          <w:fldChar w:fldCharType="begin"/>
        </w:r>
        <w:r>
          <w:instrText xml:space="preserve"> PAGE   \* MERGEFORMAT </w:instrText>
        </w:r>
        <w:r>
          <w:fldChar w:fldCharType="separate"/>
        </w:r>
        <w:r>
          <w:rPr>
            <w:lang w:val="zh-CN"/>
          </w:rPr>
          <w:t>5</w:t>
        </w:r>
        <w:r>
          <w:rPr>
            <w:lang w:val="zh-CN"/>
          </w:rPr>
          <w:fldChar w:fldCharType="end"/>
        </w:r>
      </w:p>
    </w:sdtContent>
  </w:sdt>
  <w:p w14:paraId="769CB0FC">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RlNmFkMjQ3MjI0MDMwOWI3OTQxYmViZTYxNzM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3000"/>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0024"/>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10A29DC"/>
    <w:rsid w:val="01541EA9"/>
    <w:rsid w:val="053F0C01"/>
    <w:rsid w:val="059B00A7"/>
    <w:rsid w:val="080B3D5F"/>
    <w:rsid w:val="08514A4D"/>
    <w:rsid w:val="08981135"/>
    <w:rsid w:val="08C34FF7"/>
    <w:rsid w:val="0A2D5046"/>
    <w:rsid w:val="0ADB5E7A"/>
    <w:rsid w:val="0AE56DE0"/>
    <w:rsid w:val="0B536D2E"/>
    <w:rsid w:val="0C7541D8"/>
    <w:rsid w:val="0C8223EB"/>
    <w:rsid w:val="0CA42951"/>
    <w:rsid w:val="0CFE6766"/>
    <w:rsid w:val="0D4C0587"/>
    <w:rsid w:val="10482845"/>
    <w:rsid w:val="10713983"/>
    <w:rsid w:val="110F3E45"/>
    <w:rsid w:val="12844A2D"/>
    <w:rsid w:val="14025795"/>
    <w:rsid w:val="140B7F29"/>
    <w:rsid w:val="15551E7C"/>
    <w:rsid w:val="159D5768"/>
    <w:rsid w:val="15CF16A7"/>
    <w:rsid w:val="16154F53"/>
    <w:rsid w:val="16724450"/>
    <w:rsid w:val="16FA4E86"/>
    <w:rsid w:val="17B71A49"/>
    <w:rsid w:val="17FE0021"/>
    <w:rsid w:val="182F2017"/>
    <w:rsid w:val="19A12421"/>
    <w:rsid w:val="1AAB26E2"/>
    <w:rsid w:val="1AAE2376"/>
    <w:rsid w:val="1ABD2AF2"/>
    <w:rsid w:val="1B1851B0"/>
    <w:rsid w:val="1CDD41B9"/>
    <w:rsid w:val="1CFD0F69"/>
    <w:rsid w:val="1D300C7D"/>
    <w:rsid w:val="1D8D2573"/>
    <w:rsid w:val="1DD340BF"/>
    <w:rsid w:val="1E77130C"/>
    <w:rsid w:val="1F7E33E3"/>
    <w:rsid w:val="1FB02549"/>
    <w:rsid w:val="20C33720"/>
    <w:rsid w:val="218C6A2F"/>
    <w:rsid w:val="21F520D2"/>
    <w:rsid w:val="22B36145"/>
    <w:rsid w:val="26F95E73"/>
    <w:rsid w:val="270B5883"/>
    <w:rsid w:val="288C09DE"/>
    <w:rsid w:val="290B259E"/>
    <w:rsid w:val="29EC3253"/>
    <w:rsid w:val="2A2A5D1E"/>
    <w:rsid w:val="2ABB7EB6"/>
    <w:rsid w:val="2B97636B"/>
    <w:rsid w:val="2C2B6CCA"/>
    <w:rsid w:val="2C962879"/>
    <w:rsid w:val="2CE83322"/>
    <w:rsid w:val="2F1728B1"/>
    <w:rsid w:val="2FE204FD"/>
    <w:rsid w:val="30674F5B"/>
    <w:rsid w:val="30C6397A"/>
    <w:rsid w:val="30EE4C7F"/>
    <w:rsid w:val="32B258CB"/>
    <w:rsid w:val="33811DDB"/>
    <w:rsid w:val="348F3449"/>
    <w:rsid w:val="35475771"/>
    <w:rsid w:val="35921FFC"/>
    <w:rsid w:val="374E3896"/>
    <w:rsid w:val="3A0F01A8"/>
    <w:rsid w:val="3BD50FCD"/>
    <w:rsid w:val="3C8474D5"/>
    <w:rsid w:val="40095632"/>
    <w:rsid w:val="403B1566"/>
    <w:rsid w:val="415D2813"/>
    <w:rsid w:val="41B119D5"/>
    <w:rsid w:val="42A64878"/>
    <w:rsid w:val="434F5A51"/>
    <w:rsid w:val="44756DC2"/>
    <w:rsid w:val="44CD1674"/>
    <w:rsid w:val="44E00565"/>
    <w:rsid w:val="452C453B"/>
    <w:rsid w:val="481B311D"/>
    <w:rsid w:val="483A4554"/>
    <w:rsid w:val="49CB3674"/>
    <w:rsid w:val="4A4A4B33"/>
    <w:rsid w:val="4A520E2B"/>
    <w:rsid w:val="4C155AC3"/>
    <w:rsid w:val="4CC56D84"/>
    <w:rsid w:val="4D5558B4"/>
    <w:rsid w:val="4EEB2F49"/>
    <w:rsid w:val="4FE85FF2"/>
    <w:rsid w:val="51AA71FB"/>
    <w:rsid w:val="52592449"/>
    <w:rsid w:val="527B23BF"/>
    <w:rsid w:val="52B018E5"/>
    <w:rsid w:val="53530C46"/>
    <w:rsid w:val="53DD36D8"/>
    <w:rsid w:val="54EE0658"/>
    <w:rsid w:val="558772CD"/>
    <w:rsid w:val="560C332E"/>
    <w:rsid w:val="573E39BB"/>
    <w:rsid w:val="57E24C8E"/>
    <w:rsid w:val="59244A43"/>
    <w:rsid w:val="5A0C3D15"/>
    <w:rsid w:val="5A623404"/>
    <w:rsid w:val="5BCB7408"/>
    <w:rsid w:val="5C084E7C"/>
    <w:rsid w:val="5C2F2281"/>
    <w:rsid w:val="5EB84053"/>
    <w:rsid w:val="600A6B30"/>
    <w:rsid w:val="60263F50"/>
    <w:rsid w:val="60A878DC"/>
    <w:rsid w:val="60B82B42"/>
    <w:rsid w:val="60EB450B"/>
    <w:rsid w:val="614B11AE"/>
    <w:rsid w:val="62536A85"/>
    <w:rsid w:val="641B4FF7"/>
    <w:rsid w:val="649460BF"/>
    <w:rsid w:val="68D4001D"/>
    <w:rsid w:val="69247BC3"/>
    <w:rsid w:val="6A1877FC"/>
    <w:rsid w:val="6A4662AD"/>
    <w:rsid w:val="6A7038C2"/>
    <w:rsid w:val="6C9227DE"/>
    <w:rsid w:val="6D4541F6"/>
    <w:rsid w:val="6DB13A3A"/>
    <w:rsid w:val="6F5F79E8"/>
    <w:rsid w:val="706D5F5F"/>
    <w:rsid w:val="714F490E"/>
    <w:rsid w:val="727335A4"/>
    <w:rsid w:val="73076EFF"/>
    <w:rsid w:val="73C1302B"/>
    <w:rsid w:val="74CE76CB"/>
    <w:rsid w:val="75287D2D"/>
    <w:rsid w:val="753A1801"/>
    <w:rsid w:val="7543143E"/>
    <w:rsid w:val="75926377"/>
    <w:rsid w:val="7696248B"/>
    <w:rsid w:val="76A96C4B"/>
    <w:rsid w:val="785901FD"/>
    <w:rsid w:val="79CE2470"/>
    <w:rsid w:val="7B451137"/>
    <w:rsid w:val="7B910714"/>
    <w:rsid w:val="7BB54689"/>
    <w:rsid w:val="7CE54755"/>
    <w:rsid w:val="7D422132"/>
    <w:rsid w:val="7D5D5186"/>
    <w:rsid w:val="7EAB7F69"/>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3"/>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autoRedefine/>
    <w:qFormat/>
    <w:uiPriority w:val="0"/>
    <w:rPr>
      <w:rFonts w:ascii="宋体" w:hAnsi="Courier New"/>
    </w:rPr>
  </w:style>
  <w:style w:type="paragraph" w:styleId="4">
    <w:name w:val="annotation text"/>
    <w:basedOn w:val="1"/>
    <w:link w:val="28"/>
    <w:autoRedefine/>
    <w:qFormat/>
    <w:uiPriority w:val="0"/>
    <w:pPr>
      <w:jc w:val="left"/>
    </w:pPr>
    <w:rPr>
      <w:rFonts w:ascii="Times New Roman" w:hAnsi="Times New Roman"/>
      <w:szCs w:val="20"/>
    </w:rPr>
  </w:style>
  <w:style w:type="paragraph" w:styleId="5">
    <w:name w:val="Body Text"/>
    <w:basedOn w:val="1"/>
    <w:link w:val="26"/>
    <w:autoRedefine/>
    <w:qFormat/>
    <w:uiPriority w:val="0"/>
    <w:pPr>
      <w:spacing w:after="120"/>
    </w:pPr>
    <w:rPr>
      <w:rFonts w:ascii="Times New Roman" w:hAnsi="Times New Roman"/>
      <w:szCs w:val="20"/>
    </w:rPr>
  </w:style>
  <w:style w:type="paragraph" w:styleId="6">
    <w:name w:val="Body Text Indent"/>
    <w:basedOn w:val="1"/>
    <w:next w:val="7"/>
    <w:autoRedefine/>
    <w:unhideWhenUsed/>
    <w:qFormat/>
    <w:uiPriority w:val="99"/>
    <w:pPr>
      <w:ind w:left="420" w:leftChars="200"/>
    </w:pPr>
  </w:style>
  <w:style w:type="paragraph" w:customStyle="1" w:styleId="7">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styleId="8">
    <w:name w:val="Plain Text"/>
    <w:basedOn w:val="1"/>
    <w:autoRedefine/>
    <w:qFormat/>
    <w:uiPriority w:val="0"/>
    <w:rPr>
      <w:rFonts w:ascii="宋体" w:hAnsi="Courier New" w:cs="Courier New"/>
      <w:szCs w:val="21"/>
    </w:rPr>
  </w:style>
  <w:style w:type="paragraph" w:styleId="9">
    <w:name w:val="Balloon Text"/>
    <w:basedOn w:val="1"/>
    <w:link w:val="22"/>
    <w:autoRedefine/>
    <w:semiHidden/>
    <w:unhideWhenUsed/>
    <w:qFormat/>
    <w:uiPriority w:val="99"/>
    <w:rPr>
      <w:sz w:val="18"/>
      <w:szCs w:val="18"/>
    </w:rPr>
  </w:style>
  <w:style w:type="paragraph" w:styleId="10">
    <w:name w:val="footer"/>
    <w:basedOn w:val="1"/>
    <w:link w:val="21"/>
    <w:autoRedefine/>
    <w:unhideWhenUsed/>
    <w:qFormat/>
    <w:uiPriority w:val="99"/>
    <w:pPr>
      <w:tabs>
        <w:tab w:val="center" w:pos="4153"/>
        <w:tab w:val="right" w:pos="8306"/>
      </w:tabs>
      <w:snapToGrid w:val="0"/>
      <w:jc w:val="left"/>
    </w:pPr>
    <w:rPr>
      <w:sz w:val="18"/>
      <w:szCs w:val="18"/>
    </w:rPr>
  </w:style>
  <w:style w:type="paragraph" w:styleId="11">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Body Text Indent 3"/>
    <w:basedOn w:val="1"/>
    <w:autoRedefine/>
    <w:qFormat/>
    <w:uiPriority w:val="0"/>
    <w:pPr>
      <w:spacing w:after="120"/>
      <w:ind w:left="420" w:leftChars="200"/>
    </w:pPr>
    <w:rPr>
      <w:sz w:val="16"/>
      <w:szCs w:val="16"/>
    </w:rPr>
  </w:style>
  <w:style w:type="paragraph" w:styleId="13">
    <w:name w:val="Normal (Web)"/>
    <w:basedOn w:val="1"/>
    <w:qFormat/>
    <w:uiPriority w:val="99"/>
    <w:pPr>
      <w:spacing w:before="100" w:beforeAutospacing="1" w:after="100" w:afterAutospacing="1"/>
    </w:pPr>
    <w:rPr>
      <w:rFonts w:ascii="宋体" w:hAnsi="宋体" w:eastAsia="宋体" w:cs="宋体"/>
      <w:sz w:val="28"/>
      <w:szCs w:val="28"/>
    </w:rPr>
  </w:style>
  <w:style w:type="paragraph" w:styleId="14">
    <w:name w:val="Body Text First Indent 2"/>
    <w:basedOn w:val="6"/>
    <w:next w:val="1"/>
    <w:autoRedefine/>
    <w:qFormat/>
    <w:uiPriority w:val="0"/>
    <w:pPr>
      <w:ind w:firstLine="420" w:firstLineChars="2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autoRedefine/>
    <w:qFormat/>
    <w:uiPriority w:val="0"/>
    <w:rPr>
      <w:sz w:val="21"/>
      <w:szCs w:val="21"/>
    </w:rPr>
  </w:style>
  <w:style w:type="paragraph" w:customStyle="1" w:styleId="19">
    <w:name w:val="li_正文"/>
    <w:basedOn w:val="1"/>
    <w:autoRedefine/>
    <w:qFormat/>
    <w:uiPriority w:val="0"/>
    <w:pPr>
      <w:ind w:firstLine="200" w:firstLineChars="200"/>
      <w:jc w:val="left"/>
    </w:pPr>
    <w:rPr>
      <w:sz w:val="28"/>
      <w:szCs w:val="28"/>
    </w:rPr>
  </w:style>
  <w:style w:type="character" w:customStyle="1" w:styleId="20">
    <w:name w:val="页眉 Char"/>
    <w:basedOn w:val="17"/>
    <w:link w:val="11"/>
    <w:autoRedefine/>
    <w:qFormat/>
    <w:uiPriority w:val="99"/>
    <w:rPr>
      <w:sz w:val="18"/>
      <w:szCs w:val="18"/>
    </w:rPr>
  </w:style>
  <w:style w:type="character" w:customStyle="1" w:styleId="21">
    <w:name w:val="页脚 Char"/>
    <w:basedOn w:val="17"/>
    <w:link w:val="10"/>
    <w:autoRedefine/>
    <w:qFormat/>
    <w:uiPriority w:val="99"/>
    <w:rPr>
      <w:sz w:val="18"/>
      <w:szCs w:val="18"/>
    </w:rPr>
  </w:style>
  <w:style w:type="character" w:customStyle="1" w:styleId="22">
    <w:name w:val="批注框文本 Char"/>
    <w:basedOn w:val="17"/>
    <w:link w:val="9"/>
    <w:autoRedefine/>
    <w:semiHidden/>
    <w:qFormat/>
    <w:uiPriority w:val="99"/>
    <w:rPr>
      <w:rFonts w:ascii="Calibri" w:hAnsi="Calibri" w:eastAsia="宋体" w:cs="Times New Roman"/>
      <w:kern w:val="2"/>
      <w:sz w:val="18"/>
      <w:szCs w:val="18"/>
    </w:rPr>
  </w:style>
  <w:style w:type="paragraph" w:customStyle="1" w:styleId="23">
    <w:name w:val="CM24"/>
    <w:autoRedefine/>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4">
    <w:name w:val="List Paragraph"/>
    <w:basedOn w:val="1"/>
    <w:autoRedefine/>
    <w:unhideWhenUsed/>
    <w:qFormat/>
    <w:uiPriority w:val="99"/>
    <w:pPr>
      <w:ind w:firstLine="420" w:firstLineChars="200"/>
    </w:pPr>
  </w:style>
  <w:style w:type="paragraph" w:customStyle="1" w:styleId="25">
    <w:name w:val="正1"/>
    <w:basedOn w:val="1"/>
    <w:link w:val="30"/>
    <w:autoRedefine/>
    <w:qFormat/>
    <w:uiPriority w:val="0"/>
    <w:pPr>
      <w:spacing w:line="360" w:lineRule="auto"/>
      <w:ind w:firstLine="200" w:firstLineChars="200"/>
      <w:jc w:val="left"/>
    </w:pPr>
    <w:rPr>
      <w:rFonts w:eastAsia="楷体_GB2312"/>
      <w:sz w:val="24"/>
    </w:rPr>
  </w:style>
  <w:style w:type="character" w:customStyle="1" w:styleId="26">
    <w:name w:val="正文文本 Char"/>
    <w:basedOn w:val="17"/>
    <w:link w:val="5"/>
    <w:autoRedefine/>
    <w:qFormat/>
    <w:uiPriority w:val="0"/>
    <w:rPr>
      <w:kern w:val="2"/>
      <w:sz w:val="21"/>
    </w:rPr>
  </w:style>
  <w:style w:type="paragraph" w:customStyle="1" w:styleId="27">
    <w:name w:val="Char Char Char Char Char Char Char Char Char Char"/>
    <w:basedOn w:val="1"/>
    <w:autoRedefine/>
    <w:qFormat/>
    <w:uiPriority w:val="0"/>
    <w:pPr>
      <w:spacing w:line="240" w:lineRule="exact"/>
      <w:ind w:firstLine="200" w:firstLineChars="200"/>
    </w:pPr>
    <w:rPr>
      <w:rFonts w:ascii="宋体" w:hAnsi="宋体" w:cs="宋体"/>
      <w:sz w:val="24"/>
    </w:rPr>
  </w:style>
  <w:style w:type="character" w:customStyle="1" w:styleId="28">
    <w:name w:val="批注文字 Char"/>
    <w:basedOn w:val="17"/>
    <w:link w:val="4"/>
    <w:autoRedefine/>
    <w:qFormat/>
    <w:uiPriority w:val="0"/>
    <w:rPr>
      <w:kern w:val="2"/>
      <w:sz w:val="21"/>
    </w:rPr>
  </w:style>
  <w:style w:type="paragraph" w:customStyle="1" w:styleId="29">
    <w:name w:val="ZW正文"/>
    <w:basedOn w:val="1"/>
    <w:autoRedefine/>
    <w:qFormat/>
    <w:uiPriority w:val="0"/>
    <w:pPr>
      <w:spacing w:line="500" w:lineRule="exact"/>
      <w:ind w:firstLine="480" w:firstLineChars="200"/>
    </w:pPr>
    <w:rPr>
      <w:rFonts w:ascii="Times New Roman" w:hAnsi="Times New Roman"/>
      <w:sz w:val="24"/>
      <w:szCs w:val="20"/>
    </w:rPr>
  </w:style>
  <w:style w:type="character" w:customStyle="1" w:styleId="30">
    <w:name w:val="正1 Char"/>
    <w:link w:val="25"/>
    <w:autoRedefine/>
    <w:qFormat/>
    <w:uiPriority w:val="0"/>
    <w:rPr>
      <w:rFonts w:ascii="Calibri" w:hAnsi="Calibri" w:eastAsia="楷体_GB2312"/>
      <w:kern w:val="2"/>
      <w:sz w:val="24"/>
      <w:szCs w:val="24"/>
    </w:rPr>
  </w:style>
  <w:style w:type="paragraph" w:customStyle="1" w:styleId="31">
    <w:name w:val="CM25"/>
    <w:autoRedefine/>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2">
    <w:name w:val="列出段落1"/>
    <w:basedOn w:val="1"/>
    <w:autoRedefine/>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3">
    <w:name w:val="NormalCharacter"/>
    <w:autoRedefine/>
    <w:semiHidden/>
    <w:qFormat/>
    <w:uiPriority w:val="0"/>
  </w:style>
  <w:style w:type="paragraph" w:customStyle="1" w:styleId="34">
    <w:name w:val="UserStyle_29"/>
    <w:basedOn w:val="1"/>
    <w:autoRedefine/>
    <w:qFormat/>
    <w:uiPriority w:val="0"/>
    <w:pPr>
      <w:spacing w:line="500" w:lineRule="exact"/>
      <w:ind w:firstLine="48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4295</Words>
  <Characters>4792</Characters>
  <Lines>18</Lines>
  <Paragraphs>5</Paragraphs>
  <TotalTime>5</TotalTime>
  <ScaleCrop>false</ScaleCrop>
  <LinksUpToDate>false</LinksUpToDate>
  <CharactersWithSpaces>4938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良言未素</cp:lastModifiedBy>
  <cp:lastPrinted>2025-01-17T08:38:16Z</cp:lastPrinted>
  <dcterms:modified xsi:type="dcterms:W3CDTF">2025-01-17T08:50:28Z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C2C02C161711439CAAA914E37B01C441_13</vt:lpwstr>
  </property>
  <property fmtid="{D5CDD505-2E9C-101B-9397-08002B2CF9AE}" pid="4" name="KSOTemplateDocerSaveRecord">
    <vt:lpwstr>eyJoZGlkIjoiY2Q5NzFmZWMwZDI3YzY5MTEzZGE2YjM4OTNkM2M5N2UiLCJ1c2VySWQiOiIzMDM1MjgyNzUifQ==</vt:lpwstr>
  </property>
</Properties>
</file>